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1C650" w14:textId="77777777" w:rsidR="00C679C3"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B61C3A1" w14:textId="77777777" w:rsidR="004512BF" w:rsidRP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09AC5C9"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A2A91B" w14:textId="2A6CDAAC" w:rsidR="00E32D5C" w:rsidRDefault="00E32D5C" w:rsidP="004512BF">
      <w:pPr>
        <w:tabs>
          <w:tab w:val="right" w:pos="5933"/>
        </w:tabs>
        <w:suppressAutoHyphens/>
      </w:pPr>
      <w:r>
        <w:t>A</w:t>
      </w:r>
      <w:r w:rsidR="00290061">
        <w:t>S PASSED BY THE SENATE</w:t>
      </w:r>
    </w:p>
    <w:p w14:paraId="773E38A9" w14:textId="3D6A2BD4" w:rsidR="00E32D5C" w:rsidRDefault="00E32D5C" w:rsidP="004512BF">
      <w:pPr>
        <w:tabs>
          <w:tab w:val="right" w:pos="5933"/>
        </w:tabs>
        <w:suppressAutoHyphens/>
      </w:pPr>
      <w:r>
        <w:t>May 1</w:t>
      </w:r>
      <w:r w:rsidR="00290061">
        <w:t>2</w:t>
      </w:r>
      <w:r>
        <w:t>, 2022</w:t>
      </w:r>
    </w:p>
    <w:p w14:paraId="2910B304" w14:textId="77777777" w:rsidR="00E32D5C" w:rsidRDefault="00E32D5C" w:rsidP="004512BF">
      <w:pPr>
        <w:tabs>
          <w:tab w:val="right" w:pos="5933"/>
        </w:tabs>
        <w:suppressAutoHyphens/>
      </w:pPr>
    </w:p>
    <w:p w14:paraId="00B0719B" w14:textId="77777777" w:rsidR="004512BF" w:rsidRPr="004512BF" w:rsidRDefault="004512BF" w:rsidP="004512BF">
      <w:pPr>
        <w:tabs>
          <w:tab w:val="right" w:pos="5933"/>
        </w:tabs>
        <w:suppressAutoHyphens/>
      </w:pPr>
      <w:r>
        <w:tab/>
      </w:r>
      <w:r>
        <w:rPr>
          <w:b/>
          <w:sz w:val="36"/>
        </w:rPr>
        <w:t>H. 3998</w:t>
      </w:r>
    </w:p>
    <w:p w14:paraId="0C02EFEC"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BAF571"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Dillard, Erickson, Davis, Wooten, Trantham and Hewitt</w:t>
      </w:r>
    </w:p>
    <w:p w14:paraId="0A66EB0D"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53F83D" w14:textId="4B75F812" w:rsidR="004512BF" w:rsidRDefault="001144DD" w:rsidP="00B36DE7">
      <w:pPr>
        <w:tabs>
          <w:tab w:val="right" w:pos="5933"/>
        </w:tabs>
        <w:suppressAutoHyphens/>
      </w:pPr>
      <w:r>
        <w:t>S. Printed 5/1</w:t>
      </w:r>
      <w:r w:rsidR="00290061">
        <w:t>2</w:t>
      </w:r>
      <w:r w:rsidR="004512BF">
        <w:t>/22--S.</w:t>
      </w:r>
      <w:r w:rsidR="00B36DE7">
        <w:tab/>
      </w:r>
    </w:p>
    <w:p w14:paraId="1566FD93"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14:paraId="2B1AB9D5" w14:textId="77777777" w:rsidR="004512BF" w:rsidRDefault="004512BF" w:rsidP="00AF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B57FA85"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2BF" w:rsidSect="00C679C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28780" w14:textId="77777777" w:rsidR="00E81719" w:rsidRDefault="00E81719"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850267"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A1F82"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577BE5"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38C679"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2F854"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9DAFB2"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69F8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7BF3EC" w14:textId="77777777" w:rsidR="0010776B" w:rsidRPr="00325348" w:rsidRDefault="0010776B"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8B7">
        <w:rPr>
          <w:b/>
          <w:sz w:val="30"/>
          <w:szCs w:val="30"/>
        </w:rPr>
        <w:t>BILL</w:t>
      </w:r>
    </w:p>
    <w:p w14:paraId="6C4977D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86EAB6" w14:textId="77777777" w:rsidR="0010776B" w:rsidRDefault="0046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w:t>
      </w:r>
      <w:r w:rsidR="00483817" w:rsidRPr="006226D8">
        <w:rPr>
          <w:color w:val="000000" w:themeColor="text1"/>
          <w:u w:color="000000" w:themeColor="text1"/>
        </w:rPr>
        <w:t>AMEND SECTIONS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802C5A">
        <w:rPr>
          <w:color w:val="000000" w:themeColor="text1"/>
          <w:u w:color="000000" w:themeColor="text1"/>
        </w:rPr>
        <w:t>1630</w:t>
      </w:r>
      <w:r w:rsidR="00483817" w:rsidRPr="006226D8">
        <w:rPr>
          <w:color w:val="000000" w:themeColor="text1"/>
          <w:u w:color="000000" w:themeColor="text1"/>
        </w:rPr>
        <w:t xml:space="preserve"> AND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483817"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p>
    <w:p w14:paraId="27E73B22" w14:textId="77777777" w:rsidR="0010776B"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CD45A38" w14:textId="77777777" w:rsidR="00E32D5C"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961280" w14:textId="77777777"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D509196" w14:textId="77777777"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8813F1"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SECTION</w:t>
      </w:r>
      <w:r w:rsidRPr="00ED5E55">
        <w:rPr>
          <w:snapToGrid w:val="0"/>
        </w:rPr>
        <w:tab/>
      </w:r>
      <w:r>
        <w:rPr>
          <w:snapToGrid w:val="0"/>
        </w:rPr>
        <w:t>1</w:t>
      </w:r>
      <w:r w:rsidRPr="00ED5E55">
        <w:rPr>
          <w:snapToGrid w:val="0"/>
        </w:rPr>
        <w:t>.</w:t>
      </w:r>
      <w:r w:rsidRPr="00ED5E55">
        <w:rPr>
          <w:snapToGrid w:val="0"/>
        </w:rPr>
        <w:tab/>
        <w:t>Article 1, Chapter 3, Title 16 of the 1976 Code is amended by adding:</w:t>
      </w:r>
    </w:p>
    <w:p w14:paraId="1E71D0D5"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F652B69"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“Section 16-3-80.</w:t>
      </w:r>
      <w:r w:rsidRPr="00ED5E55">
        <w:rPr>
          <w:snapToGrid w:val="0"/>
        </w:rPr>
        <w:tab/>
        <w:t>(A)</w:t>
      </w:r>
      <w:r w:rsidRPr="00ED5E55">
        <w:rPr>
          <w:snapToGrid w:val="0"/>
        </w:rPr>
        <w:tab/>
        <w:t>A person who unlawfully delivers, dispenses, or otherwise provides a fentanyl or a fentanyl-related substance as defined in Section 44-53-190(B) and Section 44-53-210(c)(6) to another person, in violation of the provisions of Section 44-53-370, if the proximate cause of the death of any other person is the injection, inhalation, absorption, or ingestion of any amount of the fentanyl or fentanyl-related substance, commits the felony offense of fentanyl-induced homicide.</w:t>
      </w:r>
    </w:p>
    <w:p w14:paraId="373F1F2E"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(B)</w:t>
      </w:r>
      <w:r w:rsidRPr="00ED5E55">
        <w:rPr>
          <w:snapToGrid w:val="0"/>
        </w:rPr>
        <w:tab/>
        <w:t>A person convicted of a fentanyl-induced homicide pursuant to the provisions of this section must be imprisoned not more than thirty years.</w:t>
      </w:r>
    </w:p>
    <w:p w14:paraId="0B9BFEDB"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(C)</w:t>
      </w:r>
      <w:r w:rsidRPr="00ED5E55">
        <w:rPr>
          <w:snapToGrid w:val="0"/>
        </w:rPr>
        <w:tab/>
        <w:t>It is not a defense pursuant to this section that a decedent contributed to his own death by his purposeful, knowing, reckless, or negligent injection, inhalation, absorption, or ingestion of the controlled substance or by his consenting to the administration of the controlled substance by another person.”</w:t>
      </w:r>
    </w:p>
    <w:p w14:paraId="7A8CD48C"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7C2F985"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sidRPr="00ED5E55">
        <w:rPr>
          <w:snapToGrid w:val="0"/>
        </w:rPr>
        <w:tab/>
        <w:t>Section 16-1-10(D) of the 1976 Code is amended by adding a new offense to read:</w:t>
      </w:r>
    </w:p>
    <w:p w14:paraId="5DEB2421"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20D5E466"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“16-3-80 Fentanyl-induced homicide”</w:t>
      </w:r>
    </w:p>
    <w:p w14:paraId="48A7F1CC"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6DF409A8"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SECTION</w:t>
      </w:r>
      <w:r w:rsidRPr="00475EAE">
        <w:rPr>
          <w:snapToGrid w:val="0"/>
        </w:rPr>
        <w:tab/>
      </w:r>
      <w:r>
        <w:rPr>
          <w:snapToGrid w:val="0"/>
        </w:rPr>
        <w:t>3.</w:t>
      </w:r>
      <w:r>
        <w:rPr>
          <w:snapToGrid w:val="0"/>
        </w:rPr>
        <w:tab/>
        <w:t>Section 44-53-</w:t>
      </w:r>
      <w:r w:rsidRPr="00475EAE">
        <w:rPr>
          <w:snapToGrid w:val="0"/>
        </w:rPr>
        <w:t>190(B) of the 1976 Code is amended by adding appropriately numbered new items at the end to read:</w:t>
      </w:r>
    </w:p>
    <w:p w14:paraId="4623571C"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54D1A85C"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“__.</w:t>
      </w:r>
      <w:r w:rsidRPr="00475EAE">
        <w:rPr>
          <w:snapToGrid w:val="0"/>
        </w:rPr>
        <w:tab/>
        <w:t>Fentanyl 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0A34AD70"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replacement of the phenyl portion of the phenethyl group by any monocycle, whether or not further substituted in or on the monocycle;</w:t>
      </w:r>
    </w:p>
    <w:p w14:paraId="21EE5743"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substitution in or on the phenethyl group with alkyl, alkenyl, alkoxyl, hydroxyl, halo, haloalkyl, amino, or nitro groups;</w:t>
      </w:r>
    </w:p>
    <w:p w14:paraId="4F967A4F"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substitution in or on the piperidine ring with alkyl, alkenyl, alkoxyl, ester, ether, hydroxyl, halo, haloalkyl, amino, or nitro groups;</w:t>
      </w:r>
    </w:p>
    <w:p w14:paraId="5ADF01CA"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replacement of the aniline ring with any aromatic monocycle whether or not further substituted in or on the aromatic monocycle; and/or</w:t>
      </w:r>
    </w:p>
    <w:p w14:paraId="38547B19"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replacement of the N-propionyl group by another acyl group or hydrogen.</w:t>
      </w:r>
    </w:p>
    <w:p w14:paraId="1C034A52"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This definition includes, but is not limited to, the following substances: Methylacetyl fentanyl, Alpha methylfentanyl, Methylthiofentanyl, Benzylfentanyl, Beta hydroxyfentanyl, Beta hydroxy 3 methylfentanyl, 3 Methylfentanyl, Methylthiofentanyl, Fluorofentanyl, Thenylfentanyl or Thienyl fentanyl, Thiofentanyl, Acetylfentanyl, Butyrylfentanyl, Beta 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4546F645"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lastRenderedPageBreak/>
        <w:tab/>
      </w:r>
      <w:r w:rsidRPr="00475EAE">
        <w:rPr>
          <w:snapToGrid w:val="0"/>
        </w:rPr>
        <w:tab/>
        <w:t>__.</w:t>
      </w:r>
      <w:r w:rsidRPr="00475EAE">
        <w:rPr>
          <w:snapToGrid w:val="0"/>
        </w:rPr>
        <w:tab/>
        <w:t>Benzamidazole-compounds to include:</w:t>
      </w:r>
    </w:p>
    <w:p w14:paraId="4E627DAC"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2-(2-(4-butoxybenzyl)-5-nitro-1H-benzimidazol-1-yl)-N,N-diethylethan-1-amine, its isomers, esters, ethers, salts, and salts of isomers, esters, and ethers (other name: butonitazene);</w:t>
      </w:r>
    </w:p>
    <w:p w14:paraId="337C09B3"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 xml:space="preserve">2-(2-(4-ethoxybenzyl)-1H-benzimidazol-1-yl)-N,N-diethylethan-1-amine, its isomers, esters, ethers, salts, and salts of isomers, esters, and ethers (other names: etodesnitazene, etazene); </w:t>
      </w:r>
    </w:p>
    <w:p w14:paraId="388CE62E"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 xml:space="preserve">N,N-diethyl-2-(2-(4-fluorobenzyl)-5-nitro-1H-benzimidazol-1-yl)ethan-1-amine, its isomers, esters, ethers, salts, and salts of isomers, esters, and ethers (other name: flunitazene); </w:t>
      </w:r>
    </w:p>
    <w:p w14:paraId="10673780"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 xml:space="preserve">N,N-diethyl-2-(2-(4-methoxybenzyl)-1H-benzimidazol-1-yl)ethan-1-amine, its isomers, esters, ethers, salts, and salts of isomers, esters, and ethers (other name: metodesnitazene); </w:t>
      </w:r>
    </w:p>
    <w:p w14:paraId="62C8D33C"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 xml:space="preserve">N,N-diethyl-2-(2-(4-methoxybenzyl)-5-nitro-1H-benzimidazol-1-yl)ethan-1-amine, its isomers, esters, ethers, salts, and salts of isomers, esters, and ethers (other name: metonitazene); </w:t>
      </w:r>
    </w:p>
    <w:p w14:paraId="4D5C854E"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f.</w:t>
      </w:r>
      <w:r w:rsidRPr="00475EAE">
        <w:rPr>
          <w:snapToGrid w:val="0"/>
        </w:rPr>
        <w:tab/>
        <w:t xml:space="preserve">2-(4-ethoxybenzyl)-5-nitro-1-(2-(pyrrolidin-1-yl)ethyl)-1H-benzimidazole, its isomers, esters, ethers, salts, and salts of isomers, esters, and ethers (other names: N-pyrrolidino etonitazene, etonitazepyne); </w:t>
      </w:r>
    </w:p>
    <w:p w14:paraId="7172D960"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g.</w:t>
      </w:r>
      <w:r w:rsidRPr="00475EAE">
        <w:rPr>
          <w:snapToGrid w:val="0"/>
        </w:rPr>
        <w:tab/>
        <w:t>N,N-diethyl-2-(5-nitro-2-(4-propoxybenzyl)-1H-benzimidazol-1-yl)ethan-1-amine, its isomers, esters, ethers, salts, and salts of isomers, esters, and ethers (other name: protonitazene).”</w:t>
      </w:r>
    </w:p>
    <w:p w14:paraId="5E0A221F"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45CBEEFB" w14:textId="77777777" w:rsidR="001A732B" w:rsidRPr="00792A4A"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2A4A">
        <w:rPr>
          <w:snapToGrid w:val="0"/>
        </w:rPr>
        <w:t>SECTION</w:t>
      </w:r>
      <w:r w:rsidRPr="00792A4A">
        <w:rPr>
          <w:snapToGrid w:val="0"/>
        </w:rPr>
        <w:tab/>
      </w:r>
      <w:r>
        <w:rPr>
          <w:snapToGrid w:val="0"/>
        </w:rPr>
        <w:t>4</w:t>
      </w:r>
      <w:r w:rsidRPr="00792A4A">
        <w:rPr>
          <w:snapToGrid w:val="0"/>
        </w:rPr>
        <w:t>.</w:t>
      </w:r>
      <w:r w:rsidRPr="00792A4A">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B9BE65B" w14:textId="77777777" w:rsidR="001A732B" w:rsidRPr="00792A4A"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7EA63C26" w14:textId="66E0FC5C" w:rsidR="009818B7"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4A">
        <w:rPr>
          <w:snapToGrid w:val="0"/>
        </w:rPr>
        <w:t>SECTION</w:t>
      </w:r>
      <w:r w:rsidRPr="00792A4A">
        <w:rPr>
          <w:snapToGrid w:val="0"/>
        </w:rPr>
        <w:tab/>
      </w:r>
      <w:r>
        <w:rPr>
          <w:snapToGrid w:val="0"/>
        </w:rPr>
        <w:t>5</w:t>
      </w:r>
      <w:r w:rsidRPr="00792A4A">
        <w:rPr>
          <w:snapToGrid w:val="0"/>
        </w:rPr>
        <w:t>.</w:t>
      </w:r>
      <w:r w:rsidRPr="00792A4A">
        <w:rPr>
          <w:snapToGrid w:val="0"/>
        </w:rPr>
        <w:tab/>
        <w:t>This act takes effect upon approval by the Governor.</w:t>
      </w:r>
    </w:p>
    <w:p w14:paraId="4A5E68BA" w14:textId="77777777" w:rsidR="00DB13E5" w:rsidRDefault="0048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7F21B24" w14:textId="77777777" w:rsidR="005477E6" w:rsidRDefault="005477E6" w:rsidP="005477E6">
      <w:pPr>
        <w:suppressAutoHyphens/>
      </w:pPr>
    </w:p>
    <w:sectPr w:rsidR="005477E6" w:rsidSect="00C679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A0D90" w14:textId="77777777" w:rsidR="000D2462" w:rsidRDefault="000D2462" w:rsidP="009F0C77">
      <w:r>
        <w:separator/>
      </w:r>
    </w:p>
  </w:endnote>
  <w:endnote w:type="continuationSeparator" w:id="0">
    <w:p w14:paraId="2CC5BBC9" w14:textId="77777777" w:rsidR="000D2462" w:rsidRDefault="000D24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ECBCA28-0ADA-45F0-AA9D-B18CCA5EB564}"/>
    <w:embedBold r:id="rId2" w:fontKey="{C135045F-19AC-4495-8339-01C1BD73A23A}"/>
  </w:font>
  <w:font w:name="Calibri">
    <w:panose1 w:val="020F0502020204030204"/>
    <w:charset w:val="00"/>
    <w:family w:val="swiss"/>
    <w:pitch w:val="variable"/>
    <w:sig w:usb0="E4002EFF" w:usb1="C000247B" w:usb2="00000009" w:usb3="00000000" w:csb0="000001FF" w:csb1="00000000"/>
    <w:embedRegular r:id="rId3" w:fontKey="{645C3992-DCF2-47C8-B7D0-6B3627B49DEF}"/>
  </w:font>
  <w:font w:name="Segoe UI">
    <w:panose1 w:val="020B0502040204020203"/>
    <w:charset w:val="00"/>
    <w:family w:val="swiss"/>
    <w:pitch w:val="variable"/>
    <w:sig w:usb0="E4002EFF" w:usb1="C000E47F" w:usb2="00000009" w:usb3="00000000" w:csb0="000001FF" w:csb1="00000000"/>
    <w:embedRegular r:id="rId4" w:fontKey="{8E768933-4D33-4E70-8EF4-21FD2FF3A772}"/>
  </w:font>
  <w:font w:name="Cambria">
    <w:panose1 w:val="02040503050406030204"/>
    <w:charset w:val="00"/>
    <w:family w:val="roman"/>
    <w:pitch w:val="variable"/>
    <w:sig w:usb0="E00006FF" w:usb1="420024FF" w:usb2="02000000" w:usb3="00000000" w:csb0="0000019F" w:csb1="00000000"/>
    <w:embedRegular r:id="rId5" w:fontKey="{1E49A4EB-64B3-46B2-9968-61DFB51930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8E43" w14:textId="77777777" w:rsidR="000D2462" w:rsidRPr="00E81719" w:rsidRDefault="000D2462" w:rsidP="00E81719">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B36DE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FCD5" w14:textId="77777777" w:rsidR="000D2462" w:rsidRPr="00E81719" w:rsidRDefault="000D2462"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9765C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05D5E" w14:textId="77777777" w:rsidR="000D2462" w:rsidRDefault="000D2462" w:rsidP="009F0C77">
      <w:r>
        <w:separator/>
      </w:r>
    </w:p>
  </w:footnote>
  <w:footnote w:type="continuationSeparator" w:id="0">
    <w:p w14:paraId="76495FBC" w14:textId="77777777" w:rsidR="000D2462" w:rsidRDefault="000D24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D2462"/>
    <w:rsid w:val="000E0100"/>
    <w:rsid w:val="000E1785"/>
    <w:rsid w:val="000F40FA"/>
    <w:rsid w:val="001035F1"/>
    <w:rsid w:val="0010776B"/>
    <w:rsid w:val="001144DD"/>
    <w:rsid w:val="00133E66"/>
    <w:rsid w:val="001435A3"/>
    <w:rsid w:val="00146ED3"/>
    <w:rsid w:val="00151044"/>
    <w:rsid w:val="00154970"/>
    <w:rsid w:val="001967FD"/>
    <w:rsid w:val="001A732B"/>
    <w:rsid w:val="001D08F2"/>
    <w:rsid w:val="001D3A58"/>
    <w:rsid w:val="001D525B"/>
    <w:rsid w:val="001D7F4F"/>
    <w:rsid w:val="00205238"/>
    <w:rsid w:val="002321B6"/>
    <w:rsid w:val="00232912"/>
    <w:rsid w:val="00250967"/>
    <w:rsid w:val="002543C8"/>
    <w:rsid w:val="0025541D"/>
    <w:rsid w:val="00284AAE"/>
    <w:rsid w:val="00290061"/>
    <w:rsid w:val="002E5912"/>
    <w:rsid w:val="00301B21"/>
    <w:rsid w:val="00325348"/>
    <w:rsid w:val="0032732C"/>
    <w:rsid w:val="00336AD0"/>
    <w:rsid w:val="0037079A"/>
    <w:rsid w:val="0038721C"/>
    <w:rsid w:val="003C4DAB"/>
    <w:rsid w:val="003D01E8"/>
    <w:rsid w:val="003E5288"/>
    <w:rsid w:val="003F6D79"/>
    <w:rsid w:val="0041760A"/>
    <w:rsid w:val="00417C01"/>
    <w:rsid w:val="004403BD"/>
    <w:rsid w:val="004512BF"/>
    <w:rsid w:val="00461441"/>
    <w:rsid w:val="0046307B"/>
    <w:rsid w:val="004809EE"/>
    <w:rsid w:val="00483817"/>
    <w:rsid w:val="004E7D54"/>
    <w:rsid w:val="005273C6"/>
    <w:rsid w:val="00530A69"/>
    <w:rsid w:val="00545593"/>
    <w:rsid w:val="005477E6"/>
    <w:rsid w:val="00556EBF"/>
    <w:rsid w:val="00577C6C"/>
    <w:rsid w:val="005A62FE"/>
    <w:rsid w:val="005C2FE2"/>
    <w:rsid w:val="005E2BC9"/>
    <w:rsid w:val="00605102"/>
    <w:rsid w:val="006215AA"/>
    <w:rsid w:val="006913C9"/>
    <w:rsid w:val="0069470D"/>
    <w:rsid w:val="006D58AA"/>
    <w:rsid w:val="00734F00"/>
    <w:rsid w:val="00736959"/>
    <w:rsid w:val="007A70AE"/>
    <w:rsid w:val="00802C5A"/>
    <w:rsid w:val="008362E8"/>
    <w:rsid w:val="0085786E"/>
    <w:rsid w:val="008A1768"/>
    <w:rsid w:val="008A489F"/>
    <w:rsid w:val="008F0F33"/>
    <w:rsid w:val="008F4429"/>
    <w:rsid w:val="0094021A"/>
    <w:rsid w:val="009765C6"/>
    <w:rsid w:val="009818B7"/>
    <w:rsid w:val="0099753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CA4"/>
    <w:rsid w:val="00B36DE7"/>
    <w:rsid w:val="00B412D4"/>
    <w:rsid w:val="00B64FFF"/>
    <w:rsid w:val="00B72CAD"/>
    <w:rsid w:val="00BE3C22"/>
    <w:rsid w:val="00BE4485"/>
    <w:rsid w:val="00C0345E"/>
    <w:rsid w:val="00C21ABE"/>
    <w:rsid w:val="00C31C95"/>
    <w:rsid w:val="00C3483A"/>
    <w:rsid w:val="00C679C3"/>
    <w:rsid w:val="00C74E9D"/>
    <w:rsid w:val="00C826DD"/>
    <w:rsid w:val="00C82FD3"/>
    <w:rsid w:val="00C92819"/>
    <w:rsid w:val="00C95934"/>
    <w:rsid w:val="00CC6B7B"/>
    <w:rsid w:val="00CD1480"/>
    <w:rsid w:val="00CD2089"/>
    <w:rsid w:val="00D73A67"/>
    <w:rsid w:val="00D970A9"/>
    <w:rsid w:val="00DB13E5"/>
    <w:rsid w:val="00DF2AE6"/>
    <w:rsid w:val="00DF3845"/>
    <w:rsid w:val="00E32D5C"/>
    <w:rsid w:val="00E41911"/>
    <w:rsid w:val="00E44B57"/>
    <w:rsid w:val="00E817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FC7D3"/>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5C079-C7A2-40C6-8EC6-DAF6F333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807</Words>
  <Characters>5298</Characters>
  <Application>Microsoft Office Word</Application>
  <DocSecurity>0</DocSecurity>
  <Lines>140</Lines>
  <Paragraphs>37</Paragraphs>
  <ScaleCrop>false</ScaleCrop>
  <HeadingPairs>
    <vt:vector size="2" baseType="variant">
      <vt:variant>
        <vt:lpstr>Title</vt:lpstr>
      </vt:variant>
      <vt:variant>
        <vt:i4>1</vt:i4>
      </vt:variant>
    </vt:vector>
  </HeadingPairs>
  <TitlesOfParts>
    <vt:vector size="1" baseType="lpstr">
      <vt:lpstr>2021-2022 Bill 3998: Subject not yet available - South Carolina Legislature Online</vt:lpstr>
    </vt:vector>
  </TitlesOfParts>
  <Company>LPITS</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Text of Previous Version (May 12, 2022) - South Carolina Legislature Online</dc:title>
  <dc:creator>Gwen Thurmond</dc:creator>
  <cp:lastModifiedBy>Tucker Smoak</cp:lastModifiedBy>
  <cp:revision>2</cp:revision>
  <cp:lastPrinted>2021-02-25T13:57:00Z</cp:lastPrinted>
  <dcterms:created xsi:type="dcterms:W3CDTF">2022-05-12T22:15:00Z</dcterms:created>
  <dcterms:modified xsi:type="dcterms:W3CDTF">2022-05-12T22:15:00Z</dcterms:modified>
</cp:coreProperties>
</file>