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6C6B" w:rsidRP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Pr="00D46C6B" w:rsidRDefault="00D46C6B" w:rsidP="00D46C6B">
      <w:pPr>
        <w:tabs>
          <w:tab w:val="right" w:pos="5933"/>
        </w:tabs>
        <w:suppressAutoHyphens/>
      </w:pPr>
      <w:r>
        <w:tab/>
      </w:r>
      <w:r>
        <w:rPr>
          <w:b/>
          <w:sz w:val="36"/>
        </w:rPr>
        <w:t>H. 4035</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A4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6C9C">
        <w:t>Reps. Hiott, Bailey and Hewitt</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D46C6B" w:rsidRPr="00D46C6B" w:rsidRDefault="00D46C6B" w:rsidP="00D46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D46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46C6B" w:rsidRPr="00D46C6B" w:rsidRDefault="00D46C6B" w:rsidP="00D46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4035) </w:t>
      </w:r>
      <w:r w:rsidRPr="00D46C6B">
        <w:rPr>
          <w:color w:val="000000" w:themeColor="text1"/>
          <w:u w:color="000000" w:themeColor="text1"/>
        </w:rPr>
        <w:t xml:space="preserve">to amend Act 129 of 2014, </w:t>
      </w:r>
      <w:r>
        <w:rPr>
          <w:color w:val="000000" w:themeColor="text1"/>
          <w:u w:color="000000" w:themeColor="text1"/>
        </w:rPr>
        <w:t>relating to the South Carolina Manufacturer Responsibility and Consumer Convenience Information Technology Equipment Collection and Re</w:t>
      </w:r>
      <w:r w:rsidRPr="00D46C6B">
        <w:rPr>
          <w:color w:val="000000" w:themeColor="text1"/>
          <w:u w:color="000000" w:themeColor="text1"/>
        </w:rPr>
        <w:t>covery Act, so as to extend the provisions of Chapter</w:t>
      </w:r>
      <w:r>
        <w:t>, etc., respectfully</w:t>
      </w:r>
    </w:p>
    <w:p w:rsidR="00D46C6B" w:rsidRPr="00D46C6B" w:rsidRDefault="00D46C6B" w:rsidP="00D46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46C6B" w:rsidRPr="00D46C6B" w:rsidRDefault="00D46C6B" w:rsidP="00D46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6B" w:rsidSect="00D46C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7BC7" w:rsidRDefault="00A07BC7"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EA1">
        <w:rPr>
          <w:color w:val="000000" w:themeColor="text1"/>
          <w:u w:color="000000" w:themeColor="text1"/>
        </w:rPr>
        <w:t>TO AMEND ACT 129 OF 2014, RELATING TO THE SOUTH CAROLINA MANUFACTURER RESPONSIBILITY AND CONSUMER CONVENIENCE INFORMATION TECHNOLOGY EQUIPMENT COLLECTION AND RECOVERY ACT, SO AS TO EXTEND THE PROVISIONS OF CHAPTER 60, TITLE 48 UNTIL DECEMBER 31, 2023</w:t>
      </w:r>
      <w:r>
        <w:rPr>
          <w:color w:val="000000" w:themeColor="text1"/>
          <w:u w:color="000000" w:themeColor="text1"/>
        </w:rPr>
        <w:t>,</w:t>
      </w:r>
      <w:r w:rsidRPr="007B5EA1">
        <w:rPr>
          <w:color w:val="000000" w:themeColor="text1"/>
          <w:u w:color="000000" w:themeColor="text1"/>
        </w:rPr>
        <w:t xml:space="preserve"> AND TO PROVIDE THAT THE PROVISIONS OF REGULATION 61</w:t>
      </w:r>
      <w:r w:rsidRPr="007B5EA1">
        <w:rPr>
          <w:color w:val="000000" w:themeColor="text1"/>
          <w:u w:color="000000" w:themeColor="text1"/>
        </w:rPr>
        <w:noBreakHyphen/>
        <w:t>124 SHALL EXPIRE ON DECEMBER 31, 2023.</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w:t>
      </w:r>
      <w:r>
        <w:rPr>
          <w:color w:val="000000" w:themeColor="text1"/>
          <w:u w:color="000000" w:themeColor="text1"/>
        </w:rPr>
        <w:t xml:space="preserve"> </w:t>
      </w:r>
      <w:r w:rsidRPr="007B5EA1">
        <w:rPr>
          <w:color w:val="000000" w:themeColor="text1"/>
          <w:u w:color="000000" w:themeColor="text1"/>
        </w:rPr>
        <w:tab/>
        <w:t xml:space="preserve">SECTION 14 of Act 129 of 2014 is amended to read: </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14.</w:t>
      </w:r>
      <w:r w:rsidRPr="007B5EA1">
        <w:rPr>
          <w:color w:val="000000" w:themeColor="text1"/>
          <w:u w:color="000000" w:themeColor="text1"/>
        </w:rPr>
        <w:tab/>
      </w:r>
      <w:r w:rsidRPr="007B5EA1">
        <w:rPr>
          <w:color w:val="000000" w:themeColor="text1"/>
          <w:u w:val="single" w:color="000000" w:themeColor="text1"/>
        </w:rPr>
        <w:t>A.</w:t>
      </w:r>
      <w:r w:rsidRPr="007B5EA1">
        <w:rPr>
          <w:color w:val="000000" w:themeColor="text1"/>
          <w:u w:color="000000" w:themeColor="text1"/>
        </w:rPr>
        <w:tab/>
      </w:r>
      <w:r>
        <w:rPr>
          <w:color w:val="000000" w:themeColor="text1"/>
          <w:u w:color="000000" w:themeColor="text1"/>
        </w:rPr>
        <w:tab/>
      </w:r>
      <w:r w:rsidRPr="007B5EA1">
        <w:rPr>
          <w:color w:val="000000" w:themeColor="text1"/>
          <w:u w:color="000000" w:themeColor="text1"/>
        </w:rPr>
        <w:t>Section 48</w:t>
      </w:r>
      <w:r w:rsidRPr="007B5EA1">
        <w:rPr>
          <w:color w:val="000000" w:themeColor="text1"/>
          <w:u w:color="000000" w:themeColor="text1"/>
        </w:rPr>
        <w:noBreakHyphen/>
        <w:t>60</w:t>
      </w:r>
      <w:r w:rsidRPr="007B5EA1">
        <w:rPr>
          <w:color w:val="000000" w:themeColor="text1"/>
          <w:u w:color="000000" w:themeColor="text1"/>
        </w:rPr>
        <w:noBreakHyphen/>
        <w:t>50 of the 1976 Code, as amended by Section 3 of this act, is repealed December 31, 2014. The remaining provisions of Chapter 60, Title 48 of the 1976 Code, except Section 48</w:t>
      </w:r>
      <w:r w:rsidRPr="007B5EA1">
        <w:rPr>
          <w:color w:val="000000" w:themeColor="text1"/>
          <w:u w:color="000000" w:themeColor="text1"/>
        </w:rPr>
        <w:noBreakHyphen/>
        <w:t>60</w:t>
      </w:r>
      <w:r w:rsidRPr="007B5EA1">
        <w:rPr>
          <w:color w:val="000000" w:themeColor="text1"/>
          <w:u w:color="000000" w:themeColor="text1"/>
        </w:rPr>
        <w:noBreakHyphen/>
        <w:t xml:space="preserve">90, are repealed December 31, </w:t>
      </w:r>
      <w:r w:rsidRPr="007B5EA1">
        <w:rPr>
          <w:strike/>
          <w:color w:val="000000" w:themeColor="text1"/>
          <w:u w:color="000000" w:themeColor="text1"/>
        </w:rPr>
        <w:t>2021</w:t>
      </w:r>
      <w:r w:rsidRPr="007B5EA1">
        <w:rPr>
          <w:color w:val="000000" w:themeColor="text1"/>
          <w:u w:color="000000" w:themeColor="text1"/>
        </w:rPr>
        <w:t xml:space="preserve"> </w:t>
      </w:r>
      <w:r w:rsidRPr="007B5EA1">
        <w:rPr>
          <w:color w:val="000000" w:themeColor="text1"/>
          <w:u w:val="single" w:color="000000" w:themeColor="text1"/>
        </w:rPr>
        <w:t>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D47">
        <w:rPr>
          <w:color w:val="000000" w:themeColor="text1"/>
          <w:u w:color="000000" w:themeColor="text1"/>
        </w:rPr>
        <w:tab/>
      </w:r>
      <w:r w:rsidRPr="006E00C5">
        <w:rPr>
          <w:color w:val="000000" w:themeColor="text1"/>
          <w:u w:val="single" w:color="000000" w:themeColor="text1"/>
        </w:rPr>
        <w:t>B.</w:t>
      </w:r>
      <w:r>
        <w:rPr>
          <w:color w:val="000000" w:themeColor="text1"/>
          <w:u w:color="000000" w:themeColor="text1"/>
        </w:rPr>
        <w:tab/>
      </w:r>
      <w:r w:rsidRPr="00914D47">
        <w:rPr>
          <w:color w:val="000000" w:themeColor="text1"/>
          <w:u w:color="000000" w:themeColor="text1"/>
        </w:rPr>
        <w:tab/>
      </w:r>
      <w:r w:rsidRPr="006E00C5">
        <w:rPr>
          <w:color w:val="000000" w:themeColor="text1"/>
          <w:u w:val="single" w:color="000000" w:themeColor="text1"/>
        </w:rPr>
        <w:t>Notwithstanding subsection P, Regulation 61</w:t>
      </w:r>
      <w:r w:rsidRPr="006E00C5">
        <w:rPr>
          <w:color w:val="000000" w:themeColor="text1"/>
          <w:u w:val="single" w:color="000000" w:themeColor="text1"/>
        </w:rPr>
        <w:noBreakHyphen/>
        <w:t>124, except for the provisions of subsection E, are repealed December 31, 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D"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EA1">
        <w:rPr>
          <w:color w:val="000000" w:themeColor="text1"/>
          <w:u w:color="000000" w:themeColor="text1"/>
        </w:rPr>
        <w:t>SECTION</w:t>
      </w:r>
      <w:r w:rsidRPr="007B5EA1">
        <w:rPr>
          <w:color w:val="000000" w:themeColor="text1"/>
          <w:u w:color="000000" w:themeColor="text1"/>
        </w:rPr>
        <w:tab/>
        <w:t>2.</w:t>
      </w:r>
      <w:r w:rsidRPr="007B5EA1">
        <w:rPr>
          <w:color w:val="000000" w:themeColor="text1"/>
          <w:u w:color="000000" w:themeColor="text1"/>
        </w:rPr>
        <w:tab/>
        <w:t>This act takes effect upon approval by the Governor.</w:t>
      </w:r>
    </w:p>
    <w:p w:rsidR="007455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9C2" w:rsidRDefault="005369C2" w:rsidP="005369C2">
      <w:pPr>
        <w:suppressAutoHyphens/>
      </w:pPr>
    </w:p>
    <w:sectPr w:rsidR="005369C2" w:rsidSect="00D46C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897" w:rsidRDefault="00BB2897" w:rsidP="009F0C77">
      <w:r>
        <w:separator/>
      </w:r>
    </w:p>
  </w:endnote>
  <w:endnote w:type="continuationSeparator" w:id="0">
    <w:p w:rsidR="00BB2897" w:rsidRDefault="00BB2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D782F6-BFD2-4A85-8D4D-7A97C0C72BB2}"/>
    <w:embedBold r:id="rId2" w:fontKey="{066B398B-BF85-480C-BA97-C25F97F51FC5}"/>
  </w:font>
  <w:font w:name="Calibri">
    <w:panose1 w:val="020F0502020204030204"/>
    <w:charset w:val="00"/>
    <w:family w:val="swiss"/>
    <w:pitch w:val="variable"/>
    <w:sig w:usb0="E0002EFF" w:usb1="C000247B" w:usb2="00000009" w:usb3="00000000" w:csb0="000001FF" w:csb1="00000000"/>
    <w:embedRegular r:id="rId3" w:fontKey="{E79FCBEE-61D6-4A2F-82EE-2BCD708DDA4F}"/>
  </w:font>
  <w:font w:name="Segoe UI">
    <w:panose1 w:val="020B0502040204020203"/>
    <w:charset w:val="00"/>
    <w:family w:val="swiss"/>
    <w:pitch w:val="variable"/>
    <w:sig w:usb0="E4002EFF" w:usb1="C000E47F" w:usb2="00000009" w:usb3="00000000" w:csb0="000001FF" w:csb1="00000000"/>
    <w:embedRegular r:id="rId4" w:fontKey="{FA5FC16C-91A1-473F-8212-E20D15157CD0}"/>
  </w:font>
  <w:font w:name="Cambria">
    <w:panose1 w:val="02040503050406030204"/>
    <w:charset w:val="00"/>
    <w:family w:val="roman"/>
    <w:pitch w:val="variable"/>
    <w:sig w:usb0="E00006FF" w:usb1="420024FF" w:usb2="02000000" w:usb3="00000000" w:csb0="0000019F" w:csb1="00000000"/>
    <w:embedRegular r:id="rId5" w:fontKey="{53B49051-92AF-4E2C-BA03-020A53036A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570" w:rsidRPr="00A07BC7" w:rsidRDefault="00A07BC7" w:rsidP="00A07BC7">
    <w:pPr>
      <w:pStyle w:val="Footer"/>
      <w:tabs>
        <w:tab w:val="clear" w:pos="4680"/>
        <w:tab w:val="clear" w:pos="9360"/>
        <w:tab w:val="center" w:pos="2995"/>
      </w:tabs>
      <w:spacing w:before="120"/>
    </w:pPr>
    <w:r>
      <w:t>[4035</w:t>
    </w:r>
    <w:r w:rsidR="00D46C6B">
      <w:t>-</w:t>
    </w:r>
    <w:r w:rsidR="00D46C6B">
      <w:fldChar w:fldCharType="begin"/>
    </w:r>
    <w:r w:rsidR="00D46C6B">
      <w:instrText xml:space="preserve"> PAGE  \* MERGEFORMAT </w:instrText>
    </w:r>
    <w:r w:rsidR="00D46C6B">
      <w:fldChar w:fldCharType="separate"/>
    </w:r>
    <w:r w:rsidR="00F8346A">
      <w:rPr>
        <w:noProof/>
      </w:rPr>
      <w:t>1</w:t>
    </w:r>
    <w:r w:rsidR="00D46C6B">
      <w:fldChar w:fldCharType="end"/>
    </w:r>
    <w:r w:rsidR="00D46C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C6B" w:rsidRPr="00A07BC7" w:rsidRDefault="00D46C6B" w:rsidP="00A07BC7">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5369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897" w:rsidRDefault="00BB2897" w:rsidP="009F0C77">
      <w:r>
        <w:separator/>
      </w:r>
    </w:p>
  </w:footnote>
  <w:footnote w:type="continuationSeparator" w:id="0">
    <w:p w:rsidR="00BB2897" w:rsidRDefault="00BB2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3CZ21"/>
    <w:docVar w:name="CoverBillType" w:val="b"/>
    <w:docVar w:name="DocPath" w:val="L:\Council\bills\DF\13063CZ21.DOCX"/>
    <w:docVar w:name="dvBillNumber" w:val="4035"/>
    <w:docVar w:name="dvBillNumberPrefix" w:val="H. "/>
    <w:docVar w:name="dvOriginalBody" w:val="House"/>
    <w:docVar w:name="dvSteno" w:val="DF"/>
    <w:docVar w:name="NameofBody" w:val="h"/>
    <w:docVar w:name="vGroup2" w:val="Council"/>
  </w:docVars>
  <w:rsids>
    <w:rsidRoot w:val="00D67EFD"/>
    <w:rsid w:val="00011869"/>
    <w:rsid w:val="00015CD6"/>
    <w:rsid w:val="000E0100"/>
    <w:rsid w:val="000E1785"/>
    <w:rsid w:val="000F40FA"/>
    <w:rsid w:val="001035F1"/>
    <w:rsid w:val="0010776B"/>
    <w:rsid w:val="00133E66"/>
    <w:rsid w:val="0013495C"/>
    <w:rsid w:val="001435A3"/>
    <w:rsid w:val="00146ED3"/>
    <w:rsid w:val="00151044"/>
    <w:rsid w:val="001D08F2"/>
    <w:rsid w:val="001D3A58"/>
    <w:rsid w:val="001D525B"/>
    <w:rsid w:val="001D7F4F"/>
    <w:rsid w:val="00205238"/>
    <w:rsid w:val="002321B6"/>
    <w:rsid w:val="00232912"/>
    <w:rsid w:val="00250967"/>
    <w:rsid w:val="0025268F"/>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9C2"/>
    <w:rsid w:val="00545593"/>
    <w:rsid w:val="00556EBF"/>
    <w:rsid w:val="00577C6C"/>
    <w:rsid w:val="005A62FE"/>
    <w:rsid w:val="005C2FE2"/>
    <w:rsid w:val="005E2BC9"/>
    <w:rsid w:val="00605102"/>
    <w:rsid w:val="006215AA"/>
    <w:rsid w:val="006913C9"/>
    <w:rsid w:val="0069470D"/>
    <w:rsid w:val="006D58AA"/>
    <w:rsid w:val="00734F00"/>
    <w:rsid w:val="00736959"/>
    <w:rsid w:val="00745570"/>
    <w:rsid w:val="00753B95"/>
    <w:rsid w:val="007A70AE"/>
    <w:rsid w:val="007F6061"/>
    <w:rsid w:val="008362E8"/>
    <w:rsid w:val="0085786E"/>
    <w:rsid w:val="008A1768"/>
    <w:rsid w:val="008A489F"/>
    <w:rsid w:val="008F0F33"/>
    <w:rsid w:val="008F4429"/>
    <w:rsid w:val="0094021A"/>
    <w:rsid w:val="009B44AF"/>
    <w:rsid w:val="009C6A0B"/>
    <w:rsid w:val="009F0C77"/>
    <w:rsid w:val="009F4DD1"/>
    <w:rsid w:val="00A02543"/>
    <w:rsid w:val="00A07BC7"/>
    <w:rsid w:val="00A41684"/>
    <w:rsid w:val="00A44FFC"/>
    <w:rsid w:val="00A64E80"/>
    <w:rsid w:val="00A72BCD"/>
    <w:rsid w:val="00A741D9"/>
    <w:rsid w:val="00A75145"/>
    <w:rsid w:val="00A833AB"/>
    <w:rsid w:val="00A9741D"/>
    <w:rsid w:val="00AC34A2"/>
    <w:rsid w:val="00AD1C9A"/>
    <w:rsid w:val="00AD4B17"/>
    <w:rsid w:val="00B412D4"/>
    <w:rsid w:val="00B64FFF"/>
    <w:rsid w:val="00BA1A32"/>
    <w:rsid w:val="00BB2897"/>
    <w:rsid w:val="00BE3C22"/>
    <w:rsid w:val="00C0345E"/>
    <w:rsid w:val="00C21ABE"/>
    <w:rsid w:val="00C31C95"/>
    <w:rsid w:val="00C3483A"/>
    <w:rsid w:val="00C74E9D"/>
    <w:rsid w:val="00C826DD"/>
    <w:rsid w:val="00C82FD3"/>
    <w:rsid w:val="00C92819"/>
    <w:rsid w:val="00CC6B7B"/>
    <w:rsid w:val="00CD2089"/>
    <w:rsid w:val="00D46C6B"/>
    <w:rsid w:val="00D67EFD"/>
    <w:rsid w:val="00D73A67"/>
    <w:rsid w:val="00D73AB7"/>
    <w:rsid w:val="00D970A9"/>
    <w:rsid w:val="00DF3845"/>
    <w:rsid w:val="00E41911"/>
    <w:rsid w:val="00E44B57"/>
    <w:rsid w:val="00E92EEF"/>
    <w:rsid w:val="00EF2368"/>
    <w:rsid w:val="00F24442"/>
    <w:rsid w:val="00F50AE3"/>
    <w:rsid w:val="00F655B7"/>
    <w:rsid w:val="00F656BA"/>
    <w:rsid w:val="00F67CF1"/>
    <w:rsid w:val="00F728AA"/>
    <w:rsid w:val="00F8346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54A0D-F4BD-4F7B-B43F-41AB7106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E343-76F6-40D4-8D07-E883F8E5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1341</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4035 Text of Previous Version (Mar. 11, 2021) - South Carolina Legislature Online</dc:title>
  <dc:creator>Del Flint</dc:creator>
  <cp:lastModifiedBy>Danny Crook</cp:lastModifiedBy>
  <cp:revision>2</cp:revision>
  <cp:lastPrinted>2021-03-03T17:29:00Z</cp:lastPrinted>
  <dcterms:created xsi:type="dcterms:W3CDTF">2021-03-11T21:50:00Z</dcterms:created>
  <dcterms:modified xsi:type="dcterms:W3CDTF">2021-03-11T21:50:00Z</dcterms:modified>
</cp:coreProperties>
</file>