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66E0" w:rsidRDefault="00CB08B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B08B4" w:rsidRPr="00CB08B4" w:rsidRDefault="00CB08B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B08B4" w:rsidRDefault="00CB08B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8B4" w:rsidRDefault="00CB08B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B08B4" w:rsidRDefault="00CB08B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2022</w:t>
      </w:r>
    </w:p>
    <w:p w:rsidR="00CB08B4" w:rsidRDefault="00CB08B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8B4" w:rsidRPr="00CB08B4" w:rsidRDefault="00CB08B4" w:rsidP="00CB08B4">
      <w:pPr>
        <w:tabs>
          <w:tab w:val="right" w:pos="5933"/>
        </w:tabs>
        <w:suppressAutoHyphens/>
      </w:pPr>
      <w:r>
        <w:tab/>
      </w:r>
      <w:r>
        <w:rPr>
          <w:b/>
          <w:sz w:val="36"/>
        </w:rPr>
        <w:t>H. 4062</w:t>
      </w:r>
    </w:p>
    <w:p w:rsidR="00CB08B4" w:rsidRDefault="00CB08B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8B4" w:rsidRDefault="00CB08B4" w:rsidP="00CB0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23B6E">
        <w:t>Reps. Sandifer and West</w:t>
      </w:r>
    </w:p>
    <w:p w:rsidR="00CB08B4" w:rsidRDefault="00CB08B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8B4" w:rsidRDefault="00CB08B4" w:rsidP="00E0516C">
      <w:pPr>
        <w:tabs>
          <w:tab w:val="right" w:pos="5933"/>
        </w:tabs>
        <w:suppressAutoHyphens/>
      </w:pPr>
      <w:r>
        <w:t>S. Printed 4/20/22--S.</w:t>
      </w:r>
      <w:r w:rsidR="00E0516C">
        <w:tab/>
        <w:t>[SEC 4/21/22 3:15 PM]</w:t>
      </w:r>
    </w:p>
    <w:p w:rsidR="00CB08B4" w:rsidRDefault="00CB08B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2021.</w:t>
      </w:r>
    </w:p>
    <w:p w:rsidR="00CB08B4" w:rsidRPr="00CB08B4" w:rsidRDefault="00CB08B4" w:rsidP="00CB0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B08B4" w:rsidRDefault="00CB08B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8B4" w:rsidRPr="00CB08B4" w:rsidRDefault="00CB08B4" w:rsidP="00CB0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CB08B4" w:rsidRDefault="00CB08B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4062) </w:t>
      </w:r>
      <w:r w:rsidRPr="00CB08B4">
        <w:rPr>
          <w:color w:val="000000" w:themeColor="text1"/>
          <w:u w:color="000000" w:themeColor="text1"/>
        </w:rPr>
        <w:t>to amend the Code of Laws of South Carolina, 1976, by adding Section 58</w:t>
      </w:r>
      <w:r w:rsidRPr="00CB08B4">
        <w:rPr>
          <w:color w:val="000000" w:themeColor="text1"/>
          <w:u w:color="000000" w:themeColor="text1"/>
        </w:rPr>
        <w:noBreakHyphen/>
        <w:t>3</w:t>
      </w:r>
      <w:r w:rsidRPr="00CB08B4">
        <w:rPr>
          <w:color w:val="000000" w:themeColor="text1"/>
          <w:u w:color="000000" w:themeColor="text1"/>
        </w:rPr>
        <w:noBreakHyphen/>
        <w:t>65 so as to allow the Public Service Commission to hire qualified, independent</w:t>
      </w:r>
      <w:r>
        <w:t>, etc., respectfully</w:t>
      </w:r>
    </w:p>
    <w:p w:rsidR="00CB08B4" w:rsidRPr="00CB08B4" w:rsidRDefault="00CB08B4" w:rsidP="00CB0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B08B4" w:rsidRDefault="00CB08B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B08B4" w:rsidRDefault="00CB08B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8B4" w:rsidRPr="00F13F94" w:rsidRDefault="00CB08B4" w:rsidP="00CB0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13F94">
        <w:rPr>
          <w:snapToGrid w:val="0"/>
        </w:rPr>
        <w:tab/>
        <w:t xml:space="preserve">Amend the bill, as and if amended, beginning on page 1, line 24, and ending on page 3, line 8, by striking SECTION 1 and SECTION 2 in their entirety. </w:t>
      </w:r>
    </w:p>
    <w:p w:rsidR="00CB08B4" w:rsidRPr="00F13F94" w:rsidRDefault="00CB08B4" w:rsidP="00CB0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13F94">
        <w:rPr>
          <w:snapToGrid w:val="0"/>
        </w:rPr>
        <w:tab/>
        <w:t>Amend the bill further, as and if amended, page 3, by striking lines 26-28 and inserting:</w:t>
      </w:r>
    </w:p>
    <w:p w:rsidR="00CB08B4" w:rsidRPr="00F13F94" w:rsidRDefault="00CB08B4" w:rsidP="00CB0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13F94">
        <w:rPr>
          <w:snapToGrid w:val="0"/>
        </w:rPr>
        <w:tab/>
        <w:t>/</w:t>
      </w:r>
      <w:r w:rsidRPr="00F13F94">
        <w:rPr>
          <w:snapToGrid w:val="0"/>
        </w:rPr>
        <w:tab/>
      </w:r>
      <w:r w:rsidRPr="00F13F94">
        <w:rPr>
          <w:snapToGrid w:val="0"/>
        </w:rPr>
        <w:tab/>
      </w:r>
      <w:r w:rsidR="00E0516C">
        <w:rPr>
          <w:snapToGrid w:val="0"/>
        </w:rPr>
        <w:t>“</w:t>
      </w:r>
      <w:r w:rsidRPr="00F13F94">
        <w:rPr>
          <w:snapToGrid w:val="0"/>
        </w:rPr>
        <w:t>Section 58-3-22.</w:t>
      </w:r>
      <w:r w:rsidRPr="00F13F94">
        <w:rPr>
          <w:snapToGrid w:val="0"/>
        </w:rPr>
        <w:tab/>
        <w:t>Members of the Public Service Commission may meet together to receive technical and legal advice from the commission’s staff on matters pending on the commission’s docket, provided that the:</w:t>
      </w:r>
    </w:p>
    <w:p w:rsidR="00CB08B4" w:rsidRPr="00F13F94" w:rsidRDefault="00CB08B4" w:rsidP="00CB0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13F94">
        <w:rPr>
          <w:snapToGrid w:val="0"/>
        </w:rPr>
        <w:tab/>
        <w:t>(1)</w:t>
      </w:r>
      <w:r w:rsidRPr="00F13F94">
        <w:rPr>
          <w:snapToGrid w:val="0"/>
        </w:rPr>
        <w:tab/>
        <w:t>advice is to aid the members in carrying out their responsibilities on the commission;</w:t>
      </w:r>
    </w:p>
    <w:p w:rsidR="00CB08B4" w:rsidRPr="00F13F94" w:rsidRDefault="00CB08B4" w:rsidP="00CB0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13F94">
        <w:rPr>
          <w:snapToGrid w:val="0"/>
        </w:rPr>
        <w:tab/>
        <w:t>(2)</w:t>
      </w:r>
      <w:r w:rsidRPr="00F13F94">
        <w:rPr>
          <w:snapToGrid w:val="0"/>
        </w:rPr>
        <w:tab/>
        <w:t>advice is provided in a manner consistent with the South Carolina Code of Judicial Conduct; and</w:t>
      </w:r>
    </w:p>
    <w:p w:rsidR="00CB08B4" w:rsidRPr="00F13F94" w:rsidRDefault="00CB08B4" w:rsidP="00CB0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13F94">
        <w:rPr>
          <w:snapToGrid w:val="0"/>
        </w:rPr>
        <w:tab/>
        <w:t>(3)</w:t>
      </w:r>
      <w:r w:rsidRPr="00F13F94">
        <w:rPr>
          <w:snapToGrid w:val="0"/>
        </w:rPr>
        <w:tab/>
        <w:t xml:space="preserve">members who attend such a meeting are not authorized to make recommendations to or transact any business for the Public Service Commission. </w:t>
      </w:r>
    </w:p>
    <w:p w:rsidR="00CB08B4" w:rsidRPr="00F13F94" w:rsidRDefault="00CB08B4" w:rsidP="00CB0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13F94">
        <w:rPr>
          <w:snapToGrid w:val="0"/>
        </w:rPr>
        <w:t xml:space="preserve">A meeting between the members of the Public Service Commission and commission staff pursuant to this section does not </w:t>
      </w:r>
      <w:r w:rsidR="00E0516C">
        <w:rPr>
          <w:snapToGrid w:val="0"/>
        </w:rPr>
        <w:lastRenderedPageBreak/>
        <w:t>constitute a ‘</w:t>
      </w:r>
      <w:r w:rsidRPr="00F13F94">
        <w:rPr>
          <w:snapToGrid w:val="0"/>
        </w:rPr>
        <w:t>public meeting</w:t>
      </w:r>
      <w:r w:rsidR="00E0516C">
        <w:rPr>
          <w:snapToGrid w:val="0"/>
        </w:rPr>
        <w:t>’</w:t>
      </w:r>
      <w:r w:rsidRPr="00F13F94">
        <w:rPr>
          <w:snapToGrid w:val="0"/>
        </w:rPr>
        <w:t xml:space="preserve"> for purposes of the Freedom of Information Act.”</w:t>
      </w:r>
      <w:r w:rsidRPr="00F13F94">
        <w:rPr>
          <w:snapToGrid w:val="0"/>
        </w:rPr>
        <w:tab/>
      </w:r>
      <w:r w:rsidRPr="00F13F94">
        <w:rPr>
          <w:snapToGrid w:val="0"/>
        </w:rPr>
        <w:tab/>
        <w:t xml:space="preserve">/ </w:t>
      </w:r>
    </w:p>
    <w:p w:rsidR="00CB08B4" w:rsidRPr="00F13F94" w:rsidRDefault="00CB08B4" w:rsidP="00CB0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13F94">
        <w:rPr>
          <w:snapToGrid w:val="0"/>
        </w:rPr>
        <w:tab/>
        <w:t>Renumber sections to conform.</w:t>
      </w:r>
    </w:p>
    <w:p w:rsidR="00CB08B4" w:rsidRDefault="00CB08B4" w:rsidP="00CB0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13F94">
        <w:rPr>
          <w:snapToGrid w:val="0"/>
        </w:rPr>
        <w:tab/>
        <w:t>Amend title to conform.</w:t>
      </w:r>
    </w:p>
    <w:p w:rsidR="00CB08B4" w:rsidRPr="00F13F94" w:rsidRDefault="00CB08B4" w:rsidP="00CB0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B08B4" w:rsidRDefault="00CB08B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CB08B4" w:rsidRPr="00CB08B4" w:rsidRDefault="00CB08B4" w:rsidP="00CB08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B08B4" w:rsidRDefault="00CB08B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08B4" w:rsidRDefault="00CB08B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B08B4" w:rsidSect="00D966E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64CE4" w:rsidRDefault="00A64CE4"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178" w:rsidRDefault="001B6178"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178" w:rsidRDefault="001B6178"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178" w:rsidRDefault="001B6178"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178" w:rsidRDefault="001B6178"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178" w:rsidRDefault="001B6178"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178" w:rsidRDefault="001B6178" w:rsidP="001B6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4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B7BA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61F0" w:rsidP="00366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E22BA">
        <w:rPr>
          <w:color w:val="000000" w:themeColor="text1"/>
          <w:u w:color="000000" w:themeColor="text1"/>
        </w:rPr>
        <w:t>TO AMEND THE CODE OF LAWS OF SOUTH CAROLINA, 1976</w:t>
      </w:r>
      <w:r>
        <w:rPr>
          <w:color w:val="000000" w:themeColor="text1"/>
          <w:u w:color="000000" w:themeColor="text1"/>
        </w:rPr>
        <w:t>,</w:t>
      </w:r>
      <w:r w:rsidRPr="00BE22BA">
        <w:rPr>
          <w:color w:val="000000" w:themeColor="text1"/>
          <w:u w:color="000000" w:themeColor="text1"/>
        </w:rPr>
        <w:t xml:space="preserve"> BY ADDING SECTION 58</w:t>
      </w:r>
      <w:r w:rsidR="005C1A18">
        <w:rPr>
          <w:color w:val="000000" w:themeColor="text1"/>
          <w:u w:color="000000" w:themeColor="text1"/>
        </w:rPr>
        <w:noBreakHyphen/>
      </w:r>
      <w:r w:rsidRPr="00BE22BA">
        <w:rPr>
          <w:color w:val="000000" w:themeColor="text1"/>
          <w:u w:color="000000" w:themeColor="text1"/>
        </w:rPr>
        <w:t>3</w:t>
      </w:r>
      <w:r w:rsidR="005C1A18">
        <w:rPr>
          <w:color w:val="000000" w:themeColor="text1"/>
          <w:u w:color="000000" w:themeColor="text1"/>
        </w:rPr>
        <w:noBreakHyphen/>
      </w:r>
      <w:r w:rsidRPr="00BE22BA">
        <w:rPr>
          <w:color w:val="000000" w:themeColor="text1"/>
          <w:u w:color="000000" w:themeColor="text1"/>
        </w:rPr>
        <w:t>65 SO AS TO ALLOW THE PUBLIC SERVICE COMMISSION TO HIRE QUALIFIED</w:t>
      </w:r>
      <w:r>
        <w:rPr>
          <w:color w:val="000000" w:themeColor="text1"/>
          <w:u w:color="000000" w:themeColor="text1"/>
        </w:rPr>
        <w:t>,</w:t>
      </w:r>
      <w:r w:rsidRPr="00BE22BA">
        <w:rPr>
          <w:color w:val="000000" w:themeColor="text1"/>
          <w:u w:color="000000" w:themeColor="text1"/>
        </w:rPr>
        <w:t xml:space="preserve"> INDEPENDENT THIRD</w:t>
      </w:r>
      <w:r w:rsidR="005C1A18">
        <w:rPr>
          <w:color w:val="000000" w:themeColor="text1"/>
          <w:u w:color="000000" w:themeColor="text1"/>
        </w:rPr>
        <w:noBreakHyphen/>
      </w:r>
      <w:r w:rsidRPr="00BE22BA">
        <w:rPr>
          <w:color w:val="000000" w:themeColor="text1"/>
          <w:u w:color="000000" w:themeColor="text1"/>
        </w:rPr>
        <w:t>PARTY EXPERTS AND CONSULTANTS; AND TO AMEND SECTION 58</w:t>
      </w:r>
      <w:r w:rsidR="005C1A18">
        <w:rPr>
          <w:color w:val="000000" w:themeColor="text1"/>
          <w:u w:color="000000" w:themeColor="text1"/>
        </w:rPr>
        <w:noBreakHyphen/>
      </w:r>
      <w:r w:rsidRPr="00BE22BA">
        <w:rPr>
          <w:color w:val="000000" w:themeColor="text1"/>
          <w:u w:color="000000" w:themeColor="text1"/>
        </w:rPr>
        <w:t>41</w:t>
      </w:r>
      <w:r w:rsidR="005C1A18">
        <w:rPr>
          <w:color w:val="000000" w:themeColor="text1"/>
          <w:u w:color="000000" w:themeColor="text1"/>
        </w:rPr>
        <w:noBreakHyphen/>
      </w:r>
      <w:r w:rsidRPr="00BE22BA">
        <w:rPr>
          <w:color w:val="000000" w:themeColor="text1"/>
          <w:u w:color="000000" w:themeColor="text1"/>
        </w:rPr>
        <w:t>20, RELATING TO REVIEW AND APPROVAL PROCEEDINGS FOR ELECTRICAL UTILITIES, SO AS TO MAKE CONFORMING CHANGES.</w:t>
      </w:r>
      <w:bookmarkStart w:id="4" w:name="titleend"/>
      <w:bookmarkEnd w:id="4"/>
      <w:bookmarkEnd w:id="1"/>
    </w:p>
    <w:p w:rsidR="003661F0" w:rsidRDefault="003661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BA0" w:rsidRDefault="00FB7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7BA0" w:rsidRDefault="00FB7B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52"/>
          <w:u w:color="000000"/>
        </w:rPr>
      </w:pPr>
      <w:r w:rsidRPr="002963C8">
        <w:rPr>
          <w:rFonts w:eastAsia="Calibri"/>
          <w:szCs w:val="52"/>
          <w:u w:color="000000"/>
        </w:rPr>
        <w:t>SECTION</w:t>
      </w:r>
      <w:r w:rsidRPr="002963C8">
        <w:rPr>
          <w:rFonts w:eastAsia="Calibri"/>
          <w:szCs w:val="52"/>
          <w:u w:color="000000"/>
        </w:rPr>
        <w:tab/>
        <w:t>1.</w:t>
      </w:r>
      <w:r w:rsidRPr="002963C8">
        <w:rPr>
          <w:rFonts w:eastAsia="Calibri"/>
          <w:szCs w:val="52"/>
          <w:u w:color="000000"/>
        </w:rPr>
        <w:tab/>
        <w:t xml:space="preserve">Article 1, Chapter 3, Title 58 of the 1976 Code is amended by adding: </w:t>
      </w:r>
    </w:p>
    <w:p w:rsid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52"/>
          <w:u w:color="000000"/>
        </w:rPr>
      </w:pP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36"/>
          <w:u w:color="000000"/>
        </w:rPr>
      </w:pPr>
      <w:r w:rsidRPr="002963C8">
        <w:rPr>
          <w:rFonts w:eastAsia="Calibri"/>
          <w:szCs w:val="52"/>
          <w:u w:color="000000"/>
        </w:rPr>
        <w:tab/>
        <w:t>“Section 58</w:t>
      </w:r>
      <w:r w:rsidRPr="002963C8">
        <w:rPr>
          <w:rFonts w:eastAsia="Calibri"/>
          <w:szCs w:val="52"/>
          <w:u w:color="000000"/>
        </w:rPr>
        <w:noBreakHyphen/>
        <w:t>3</w:t>
      </w:r>
      <w:r w:rsidRPr="002963C8">
        <w:rPr>
          <w:rFonts w:eastAsia="Calibri"/>
          <w:szCs w:val="52"/>
          <w:u w:color="000000"/>
        </w:rPr>
        <w:noBreakHyphen/>
        <w:t>65.</w:t>
      </w:r>
      <w:r w:rsidRPr="002963C8">
        <w:rPr>
          <w:rFonts w:eastAsia="Calibri"/>
          <w:szCs w:val="52"/>
          <w:u w:color="000000"/>
        </w:rPr>
        <w:tab/>
        <w:t>(A)</w:t>
      </w:r>
      <w:r w:rsidRPr="002963C8">
        <w:rPr>
          <w:rFonts w:eastAsia="Calibri"/>
          <w:szCs w:val="52"/>
          <w:u w:color="000000"/>
        </w:rPr>
        <w:tab/>
        <w:t>To the extent necessary to carry out commission responsibilities, the commission is authorized to employ in an advisory capacity, through contract, qualified, independent third</w:t>
      </w:r>
      <w:r w:rsidRPr="002963C8">
        <w:rPr>
          <w:rFonts w:eastAsia="Calibri"/>
          <w:szCs w:val="52"/>
          <w:u w:color="000000"/>
        </w:rPr>
        <w:noBreakHyphen/>
        <w:t xml:space="preserve">party experts and consultants in carrying out its duties under this title. When the commission determines that the assistance of an expert or consultant will materially aid the commission in carrying out its duties under this title, the commission is authorized to retain professional expertise to provide advisory assistance to the commission for the purposes of a specific proceeding. Such professional expertise must be retained through a process that is transparent and designed to identify an expert who will be fair and unbiased and who will provide the commission with advice on an issue or issues as requested by the commission. Any experts or consultants retained pursuant to this section are subject to the same ex parte prohibitions contained in Chapter 3, Title 58 as other commission employees. Experts retained pursuant to this item shall not testify in the proceeding for which they are retained, and </w:t>
      </w:r>
      <w:r w:rsidRPr="002963C8">
        <w:rPr>
          <w:rFonts w:eastAsia="Calibri"/>
          <w:szCs w:val="52"/>
          <w:u w:color="000000"/>
        </w:rPr>
        <w:lastRenderedPageBreak/>
        <w:t xml:space="preserve">shall not be subject to discovery or to deposition. The commission must inform the expert of the expert’s duties. The commission may do so in writing and have a copy filed with the clerk or may do so orally at a conference in which the parties have an opportunity to participate. The commission is exempt from complying with the State Procurement Code in the selection and hiring of professional expertise authorized by this subsection. The expenses for the </w:t>
      </w:r>
      <w:r w:rsidRPr="002963C8">
        <w:rPr>
          <w:rFonts w:eastAsia="Calibri"/>
          <w:szCs w:val="36"/>
          <w:u w:color="000000"/>
        </w:rPr>
        <w:t>third</w:t>
      </w:r>
      <w:r w:rsidRPr="002963C8">
        <w:rPr>
          <w:rFonts w:eastAsia="Calibri"/>
          <w:szCs w:val="36"/>
          <w:u w:color="000000"/>
        </w:rPr>
        <w:noBreakHyphen/>
        <w:t>party consultant must be paid from the assessments collected pursuant to Section 58</w:t>
      </w:r>
      <w:r w:rsidRPr="002963C8">
        <w:rPr>
          <w:rFonts w:eastAsia="Calibri"/>
          <w:szCs w:val="36"/>
          <w:u w:color="000000"/>
        </w:rPr>
        <w:noBreakHyphen/>
        <w:t>3</w:t>
      </w:r>
      <w:r w:rsidRPr="002963C8">
        <w:rPr>
          <w:rFonts w:eastAsia="Calibri"/>
          <w:szCs w:val="36"/>
          <w:u w:color="000000"/>
        </w:rPr>
        <w:noBreakHyphen/>
        <w:t>100. The chairman, within allowed budgetary limits and as otherwise allowed by law, must authorize and approve travel, subsistence, and related expenses of third</w:t>
      </w:r>
      <w:r w:rsidRPr="002963C8">
        <w:rPr>
          <w:rFonts w:eastAsia="Calibri"/>
          <w:szCs w:val="36"/>
          <w:u w:color="000000"/>
        </w:rPr>
        <w:noBreakHyphen/>
        <w:t>party consultants incurred while traveling on commission business. The commission shall provide an accounting of compensation and expenses incurred for third</w:t>
      </w:r>
      <w:r w:rsidRPr="002963C8">
        <w:rPr>
          <w:rFonts w:eastAsia="Calibri"/>
          <w:szCs w:val="36"/>
          <w:u w:color="000000"/>
        </w:rPr>
        <w:noBreakHyphen/>
        <w:t>party consultants in a report provided annually to the review committee, the Speaker of the House of Representatives, and the Chairman of the Senate Judiciary Committee. The commission and the Office of Regulatory Staff may not hire the same third</w:t>
      </w:r>
      <w:r w:rsidRPr="002963C8">
        <w:rPr>
          <w:rFonts w:eastAsia="Calibri"/>
          <w:szCs w:val="36"/>
          <w:u w:color="000000"/>
        </w:rPr>
        <w:noBreakHyphen/>
        <w:t>party consultant or expert or independent third</w:t>
      </w:r>
      <w:r w:rsidRPr="002963C8">
        <w:rPr>
          <w:rFonts w:eastAsia="Calibri"/>
          <w:szCs w:val="36"/>
          <w:u w:color="000000"/>
        </w:rPr>
        <w:noBreakHyphen/>
        <w:t xml:space="preserve">party consultant or expert in the same proceeding or to address the same or similar issues in different proceedings.” </w:t>
      </w:r>
    </w:p>
    <w:p w:rsid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36"/>
          <w:u w:color="000000"/>
        </w:rPr>
      </w:pP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36"/>
          <w:u w:color="000000"/>
        </w:rPr>
      </w:pPr>
      <w:r w:rsidRPr="002963C8">
        <w:rPr>
          <w:rFonts w:eastAsia="Calibri"/>
          <w:szCs w:val="36"/>
          <w:u w:color="000000"/>
        </w:rPr>
        <w:t>SECTION</w:t>
      </w:r>
      <w:r w:rsidRPr="002963C8">
        <w:rPr>
          <w:rFonts w:eastAsia="Calibri"/>
          <w:szCs w:val="36"/>
          <w:u w:color="000000"/>
        </w:rPr>
        <w:tab/>
        <w:t>2.</w:t>
      </w:r>
      <w:r w:rsidRPr="002963C8">
        <w:rPr>
          <w:rFonts w:eastAsia="Calibri"/>
          <w:szCs w:val="36"/>
          <w:u w:color="000000"/>
        </w:rPr>
        <w:tab/>
        <w:t>Section 58</w:t>
      </w:r>
      <w:r w:rsidRPr="002963C8">
        <w:rPr>
          <w:rFonts w:eastAsia="Calibri"/>
          <w:szCs w:val="36"/>
          <w:u w:color="000000"/>
        </w:rPr>
        <w:noBreakHyphen/>
        <w:t>3</w:t>
      </w:r>
      <w:r w:rsidRPr="002963C8">
        <w:rPr>
          <w:rFonts w:eastAsia="Calibri"/>
          <w:szCs w:val="36"/>
          <w:u w:color="000000"/>
        </w:rPr>
        <w:noBreakHyphen/>
        <w:t>200 of the 1976 Code is amended to read:</w:t>
      </w:r>
    </w:p>
    <w:p w:rsid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36"/>
          <w:u w:color="000000"/>
        </w:rPr>
      </w:pP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36"/>
          <w:u w:color="000000"/>
        </w:rPr>
      </w:pPr>
      <w:r w:rsidRPr="002963C8">
        <w:rPr>
          <w:rFonts w:eastAsia="Calibri"/>
          <w:szCs w:val="36"/>
          <w:u w:color="000000"/>
        </w:rPr>
        <w:tab/>
        <w:t>“Section 58</w:t>
      </w:r>
      <w:r w:rsidRPr="002963C8">
        <w:rPr>
          <w:rFonts w:eastAsia="Calibri"/>
          <w:szCs w:val="36"/>
          <w:u w:color="000000"/>
        </w:rPr>
        <w:noBreakHyphen/>
        <w:t>3</w:t>
      </w:r>
      <w:r w:rsidRPr="002963C8">
        <w:rPr>
          <w:rFonts w:eastAsia="Calibri"/>
          <w:szCs w:val="36"/>
          <w:u w:color="000000"/>
        </w:rPr>
        <w:noBreakHyphen/>
        <w:t>200.</w:t>
      </w:r>
      <w:r w:rsidRPr="002963C8">
        <w:rPr>
          <w:rFonts w:eastAsia="Calibri"/>
          <w:szCs w:val="36"/>
          <w:u w:color="000000"/>
        </w:rPr>
        <w:tab/>
        <w:t>Inspections, audits</w:t>
      </w:r>
      <w:r w:rsidR="002B70A7" w:rsidRPr="002B70A7">
        <w:rPr>
          <w:rFonts w:eastAsia="Calibri"/>
          <w:szCs w:val="36"/>
          <w:u w:val="single"/>
        </w:rPr>
        <w:t>,</w:t>
      </w:r>
      <w:r w:rsidRPr="002963C8">
        <w:rPr>
          <w:rFonts w:eastAsia="Calibri"/>
          <w:szCs w:val="36"/>
          <w:u w:color="000000"/>
        </w:rPr>
        <w:t xml:space="preserve"> and examinations.</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36"/>
          <w:u w:color="000000"/>
        </w:rPr>
        <w:tab/>
      </w:r>
      <w:r w:rsidRPr="002963C8">
        <w:rPr>
          <w:rFonts w:eastAsia="Calibri"/>
          <w:szCs w:val="36"/>
          <w:u w:val="single" w:color="000000"/>
        </w:rPr>
        <w:t>(A)</w:t>
      </w:r>
      <w:r w:rsidRPr="002963C8">
        <w:rPr>
          <w:rFonts w:eastAsia="Calibri"/>
          <w:szCs w:val="36"/>
          <w:u w:color="000000"/>
        </w:rPr>
        <w:tab/>
        <w:t xml:space="preserve">The commission has the authority to initiate inspections, audits, and examinations of all persons and entities subject to its jurisdiction. Such inspections, audits, and examinations must relate to matters within the </w:t>
      </w:r>
      <w:r w:rsidRPr="002963C8">
        <w:rPr>
          <w:rFonts w:eastAsia="Calibri"/>
          <w:szCs w:val="22"/>
          <w:u w:color="000000"/>
        </w:rPr>
        <w:t>commission’s jurisdiction. Notwithstanding any other provision of law, the commission must not conduct such inspections, audits, and examinations itself, but must request that they be conducted by the Office of Regulatory Staff pursuant to Section 58</w:t>
      </w:r>
      <w:r w:rsidRPr="002963C8">
        <w:rPr>
          <w:rFonts w:eastAsia="Calibri"/>
          <w:szCs w:val="22"/>
          <w:u w:color="000000"/>
        </w:rPr>
        <w:noBreakHyphen/>
        <w:t>4</w:t>
      </w:r>
      <w:r w:rsidRPr="002963C8">
        <w:rPr>
          <w:rFonts w:eastAsia="Calibri"/>
          <w:szCs w:val="22"/>
          <w:u w:color="000000"/>
        </w:rPr>
        <w:noBreakHyphen/>
        <w:t xml:space="preserve">50(A)(2).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val="single" w:color="000000"/>
        </w:rPr>
        <w:t>(B)</w:t>
      </w:r>
      <w:r w:rsidRPr="002963C8">
        <w:rPr>
          <w:rFonts w:eastAsia="Calibri"/>
          <w:szCs w:val="22"/>
          <w:u w:color="000000"/>
        </w:rPr>
        <w:tab/>
      </w:r>
      <w:r w:rsidRPr="002963C8">
        <w:rPr>
          <w:rFonts w:eastAsia="Calibri"/>
          <w:szCs w:val="22"/>
          <w:u w:val="single" w:color="000000"/>
        </w:rPr>
        <w:t xml:space="preserve">In the course of a proceeding and at least ten days prior to the commencement of a hearing or, when no hearing is held, at least ten days after the completion of filing testimony by the parties, the commission may raise any issue not previously raised by the parties to the proceeding that the commission determines is necessary to address in order to develop a full and complete record in such proceeding. The commission may, on its own motion or directive, approved by a majority vote of the commission, direct the parties to present legal argument, legal briefing, or the filing of supplemental testimony, which can include a request for written or oral fact </w:t>
      </w:r>
      <w:r w:rsidRPr="002963C8">
        <w:rPr>
          <w:rFonts w:eastAsia="Calibri"/>
          <w:szCs w:val="22"/>
          <w:u w:val="single" w:color="000000"/>
        </w:rPr>
        <w:lastRenderedPageBreak/>
        <w:t>witness testimony or written or oral expert witness testimony on any issue raised by the commission pursuant to this section. Nothing in this subsection restricts the commission’s authority to request a late filed exhibit during the course of a hearing. Any request made pursuant to this subsection, or a request for late filed exhibits, must provide sufficient time for the parties to fully respond to the request and the responses of other parties to the request.</w:t>
      </w:r>
      <w:r w:rsidRPr="002963C8">
        <w:rPr>
          <w:rFonts w:eastAsia="Calibri"/>
          <w:szCs w:val="22"/>
          <w:u w:color="000000"/>
        </w:rPr>
        <w:t>”</w:t>
      </w:r>
    </w:p>
    <w:p w:rsid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SECTION</w:t>
      </w:r>
      <w:r w:rsidRPr="002963C8">
        <w:rPr>
          <w:rFonts w:eastAsia="Calibri"/>
          <w:szCs w:val="22"/>
          <w:u w:color="000000"/>
        </w:rPr>
        <w:tab/>
        <w:t>3.</w:t>
      </w:r>
      <w:r w:rsidRPr="002963C8">
        <w:rPr>
          <w:rFonts w:eastAsia="Calibri"/>
          <w:szCs w:val="22"/>
          <w:u w:color="000000"/>
        </w:rPr>
        <w:tab/>
        <w:t xml:space="preserve">Article 1, Chapter 3, Title 58 of the 1976 Code is amended by adding: </w:t>
      </w:r>
    </w:p>
    <w:p w:rsid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t xml:space="preserve">“Section </w:t>
      </w:r>
      <w:r w:rsidRPr="002963C8">
        <w:rPr>
          <w:rFonts w:eastAsia="Calibri"/>
          <w:szCs w:val="22"/>
          <w:u w:val="single" w:color="000000"/>
        </w:rPr>
        <w:t>58</w:t>
      </w:r>
      <w:r w:rsidRPr="002963C8">
        <w:rPr>
          <w:rFonts w:eastAsia="Calibri"/>
          <w:szCs w:val="22"/>
          <w:u w:val="single" w:color="000000"/>
        </w:rPr>
        <w:noBreakHyphen/>
        <w:t>3</w:t>
      </w:r>
      <w:r w:rsidRPr="002963C8">
        <w:rPr>
          <w:rFonts w:eastAsia="Calibri"/>
          <w:szCs w:val="22"/>
          <w:u w:val="single" w:color="000000"/>
        </w:rPr>
        <w:noBreakHyphen/>
        <w:t>21</w:t>
      </w:r>
      <w:r w:rsidRPr="002963C8">
        <w:rPr>
          <w:rFonts w:eastAsia="Calibri"/>
          <w:szCs w:val="22"/>
          <w:u w:color="000000"/>
        </w:rPr>
        <w:t>.</w:t>
      </w:r>
      <w:r w:rsidRPr="002963C8">
        <w:rPr>
          <w:rFonts w:eastAsia="Calibri"/>
          <w:szCs w:val="22"/>
          <w:u w:color="000000"/>
        </w:rPr>
        <w:tab/>
        <w:t>While hearing cases or any other matter within the commission’s jurisdiction or on other official business outside the county in which he resides, within fifty miles of his residence, a public service commissioner is entitled to a subsistence allowance in the amount of thirty</w:t>
      </w:r>
      <w:r w:rsidRPr="002963C8">
        <w:rPr>
          <w:rFonts w:eastAsia="Calibri"/>
          <w:szCs w:val="22"/>
          <w:u w:color="000000"/>
        </w:rPr>
        <w:noBreakHyphen/>
        <w:t xml:space="preserve">five dollars per day plus such mileage allowance for travel as is provided for other employees of the State. While hearing cases or any other matter within the commission’s jurisdiction or on other official business at a location fifty miles or more from his residence, a public service commissioner is entitled to a subsistence allowance in the amount as provided for members of the General Assembly plus such mileage allowance for travel as is provided for other employees of the State.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t xml:space="preserve">Section </w:t>
      </w:r>
      <w:r w:rsidRPr="002963C8">
        <w:rPr>
          <w:rFonts w:eastAsia="Calibri"/>
          <w:szCs w:val="22"/>
          <w:u w:val="single" w:color="000000"/>
        </w:rPr>
        <w:t>58</w:t>
      </w:r>
      <w:r w:rsidRPr="002963C8">
        <w:rPr>
          <w:rFonts w:eastAsia="Calibri"/>
          <w:szCs w:val="22"/>
          <w:u w:val="single" w:color="000000"/>
        </w:rPr>
        <w:noBreakHyphen/>
        <w:t>3</w:t>
      </w:r>
      <w:r w:rsidRPr="002963C8">
        <w:rPr>
          <w:rFonts w:eastAsia="Calibri"/>
          <w:szCs w:val="22"/>
          <w:u w:val="single" w:color="000000"/>
        </w:rPr>
        <w:noBreakHyphen/>
        <w:t>22</w:t>
      </w:r>
      <w:r w:rsidRPr="002963C8">
        <w:rPr>
          <w:rFonts w:eastAsia="Calibri"/>
          <w:szCs w:val="22"/>
          <w:u w:color="000000"/>
        </w:rPr>
        <w:t>.</w:t>
      </w:r>
      <w:r w:rsidRPr="002963C8">
        <w:rPr>
          <w:rFonts w:eastAsia="Calibri"/>
          <w:szCs w:val="22"/>
          <w:u w:color="000000"/>
        </w:rPr>
        <w:tab/>
        <w:t xml:space="preserve">Members of the Public Service Commission are not prohibited from deliberating together in closed session in a manner consistent with the appellate courts in this State.” </w:t>
      </w:r>
    </w:p>
    <w:p w:rsid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SECTION</w:t>
      </w:r>
      <w:r w:rsidRPr="002963C8">
        <w:rPr>
          <w:rFonts w:eastAsia="Calibri"/>
          <w:szCs w:val="22"/>
          <w:u w:color="000000"/>
        </w:rPr>
        <w:tab/>
        <w:t>4.</w:t>
      </w:r>
      <w:r w:rsidRPr="002963C8">
        <w:rPr>
          <w:rFonts w:eastAsia="Calibri"/>
          <w:szCs w:val="22"/>
          <w:u w:color="000000"/>
        </w:rPr>
        <w:tab/>
        <w:t xml:space="preserve">Section </w:t>
      </w:r>
      <w:r w:rsidRPr="002963C8">
        <w:rPr>
          <w:rFonts w:eastAsia="Calibri"/>
          <w:szCs w:val="22"/>
          <w:u w:val="single" w:color="000000"/>
        </w:rPr>
        <w:t>58</w:t>
      </w:r>
      <w:r w:rsidRPr="002963C8">
        <w:rPr>
          <w:rFonts w:eastAsia="Calibri"/>
          <w:szCs w:val="22"/>
          <w:u w:val="single" w:color="000000"/>
        </w:rPr>
        <w:noBreakHyphen/>
        <w:t>3</w:t>
      </w:r>
      <w:r w:rsidRPr="002963C8">
        <w:rPr>
          <w:rFonts w:eastAsia="Calibri"/>
          <w:szCs w:val="22"/>
          <w:u w:val="single" w:color="000000"/>
        </w:rPr>
        <w:noBreakHyphen/>
        <w:t>20</w:t>
      </w:r>
      <w:r w:rsidRPr="002963C8">
        <w:rPr>
          <w:rFonts w:eastAsia="Calibri"/>
          <w:szCs w:val="22"/>
          <w:u w:color="000000"/>
        </w:rPr>
        <w:t xml:space="preserve"> of the 1976 Code is amended to read: </w:t>
      </w:r>
    </w:p>
    <w:p w:rsid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t xml:space="preserve">“Section </w:t>
      </w:r>
      <w:r w:rsidRPr="002963C8">
        <w:rPr>
          <w:rFonts w:eastAsia="Calibri"/>
          <w:szCs w:val="22"/>
          <w:u w:val="single" w:color="000000"/>
        </w:rPr>
        <w:t>58</w:t>
      </w:r>
      <w:r w:rsidRPr="002963C8">
        <w:rPr>
          <w:rFonts w:eastAsia="Calibri"/>
          <w:szCs w:val="22"/>
          <w:u w:val="single" w:color="000000"/>
        </w:rPr>
        <w:noBreakHyphen/>
        <w:t>3</w:t>
      </w:r>
      <w:r w:rsidRPr="002963C8">
        <w:rPr>
          <w:rFonts w:eastAsia="Calibri"/>
          <w:szCs w:val="22"/>
          <w:u w:val="single" w:color="000000"/>
        </w:rPr>
        <w:noBreakHyphen/>
        <w:t>20</w:t>
      </w:r>
      <w:r w:rsidRPr="002963C8">
        <w:rPr>
          <w:rFonts w:eastAsia="Calibri"/>
          <w:szCs w:val="22"/>
          <w:u w:color="000000"/>
        </w:rPr>
        <w:t>.</w:t>
      </w:r>
      <w:r w:rsidRPr="002963C8">
        <w:rPr>
          <w:rFonts w:eastAsia="Calibri"/>
          <w:szCs w:val="22"/>
          <w:u w:color="000000"/>
        </w:rPr>
        <w:tab/>
        <w:t>(A)</w:t>
      </w:r>
      <w:r w:rsidRPr="002963C8">
        <w:rPr>
          <w:rFonts w:eastAsia="Calibri"/>
          <w:szCs w:val="22"/>
          <w:u w:color="000000"/>
        </w:rPr>
        <w:tab/>
        <w:t xml:space="preserve">The commission is composed of seven members to be elected by the General Assembly in the manner prescribed by this chapter. Each member must have: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color="000000"/>
        </w:rPr>
        <w:tab/>
        <w:t>(1)</w:t>
      </w:r>
      <w:r w:rsidRPr="002963C8">
        <w:rPr>
          <w:rFonts w:eastAsia="Calibri"/>
          <w:szCs w:val="22"/>
          <w:u w:color="000000"/>
        </w:rPr>
        <w:tab/>
        <w:t xml:space="preserve">a baccalaureate or more advanced degree from: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color="000000"/>
        </w:rPr>
        <w:tab/>
      </w:r>
      <w:r w:rsidRPr="002963C8">
        <w:rPr>
          <w:rFonts w:eastAsia="Calibri"/>
          <w:szCs w:val="22"/>
          <w:u w:color="000000"/>
        </w:rPr>
        <w:tab/>
        <w:t>(a)</w:t>
      </w:r>
      <w:r w:rsidRPr="002963C8">
        <w:rPr>
          <w:rFonts w:eastAsia="Calibri"/>
          <w:szCs w:val="22"/>
          <w:u w:color="000000"/>
        </w:rPr>
        <w:tab/>
        <w:t>a recognized institution of higher learning requiring face</w:t>
      </w:r>
      <w:r w:rsidRPr="002963C8">
        <w:rPr>
          <w:rFonts w:eastAsia="Calibri"/>
          <w:szCs w:val="22"/>
          <w:u w:color="000000"/>
        </w:rPr>
        <w:noBreakHyphen/>
        <w:t>to</w:t>
      </w:r>
      <w:r w:rsidRPr="002963C8">
        <w:rPr>
          <w:rFonts w:eastAsia="Calibri"/>
          <w:szCs w:val="22"/>
          <w:u w:color="000000"/>
        </w:rPr>
        <w:noBreakHyphen/>
        <w:t xml:space="preserve">face contact between its students and instructors prior to completion of the academic program;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color="000000"/>
        </w:rPr>
        <w:tab/>
      </w:r>
      <w:r w:rsidRPr="002963C8">
        <w:rPr>
          <w:rFonts w:eastAsia="Calibri"/>
          <w:szCs w:val="22"/>
          <w:u w:color="000000"/>
        </w:rPr>
        <w:tab/>
        <w:t>(b)</w:t>
      </w:r>
      <w:r w:rsidRPr="002963C8">
        <w:rPr>
          <w:rFonts w:eastAsia="Calibri"/>
          <w:szCs w:val="22"/>
          <w:u w:color="000000"/>
        </w:rPr>
        <w:tab/>
        <w:t xml:space="preserve">an institution of higher learning that has been accredited by a regional or national accrediting body; or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color="000000"/>
        </w:rPr>
        <w:tab/>
      </w:r>
      <w:r w:rsidRPr="002963C8">
        <w:rPr>
          <w:rFonts w:eastAsia="Calibri"/>
          <w:szCs w:val="22"/>
          <w:u w:color="000000"/>
        </w:rPr>
        <w:tab/>
        <w:t>(c)</w:t>
      </w:r>
      <w:r w:rsidRPr="002963C8">
        <w:rPr>
          <w:rFonts w:eastAsia="Calibri"/>
          <w:szCs w:val="22"/>
          <w:u w:color="000000"/>
        </w:rPr>
        <w:tab/>
        <w:t xml:space="preserve">an institution of higher learning chartered before 1962; and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color="000000"/>
        </w:rPr>
        <w:tab/>
        <w:t>(2)</w:t>
      </w:r>
      <w:r w:rsidRPr="002963C8">
        <w:rPr>
          <w:rFonts w:eastAsia="Calibri"/>
          <w:szCs w:val="22"/>
          <w:u w:color="000000"/>
        </w:rPr>
        <w:tab/>
        <w:t xml:space="preserve">a background of substantial duration and an expertise in at least one of the following: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lastRenderedPageBreak/>
        <w:tab/>
      </w:r>
      <w:r w:rsidRPr="002963C8">
        <w:rPr>
          <w:rFonts w:eastAsia="Calibri"/>
          <w:szCs w:val="22"/>
          <w:u w:color="000000"/>
        </w:rPr>
        <w:tab/>
      </w:r>
      <w:r w:rsidRPr="002963C8">
        <w:rPr>
          <w:rFonts w:eastAsia="Calibri"/>
          <w:szCs w:val="22"/>
          <w:u w:color="000000"/>
        </w:rPr>
        <w:tab/>
        <w:t>(a)</w:t>
      </w:r>
      <w:r w:rsidRPr="002963C8">
        <w:rPr>
          <w:rFonts w:eastAsia="Calibri"/>
          <w:szCs w:val="22"/>
          <w:u w:color="000000"/>
        </w:rPr>
        <w:tab/>
        <w:t xml:space="preserve">energy issues;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color="000000"/>
        </w:rPr>
        <w:tab/>
      </w:r>
      <w:r w:rsidRPr="002963C8">
        <w:rPr>
          <w:rFonts w:eastAsia="Calibri"/>
          <w:szCs w:val="22"/>
          <w:u w:color="000000"/>
        </w:rPr>
        <w:tab/>
        <w:t>(b)</w:t>
      </w:r>
      <w:r w:rsidRPr="002963C8">
        <w:rPr>
          <w:rFonts w:eastAsia="Calibri"/>
          <w:szCs w:val="22"/>
          <w:u w:color="000000"/>
        </w:rPr>
        <w:tab/>
        <w:t xml:space="preserve">telecommunications issues;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color="000000"/>
        </w:rPr>
        <w:tab/>
      </w:r>
      <w:r w:rsidRPr="002963C8">
        <w:rPr>
          <w:rFonts w:eastAsia="Calibri"/>
          <w:szCs w:val="22"/>
          <w:u w:color="000000"/>
        </w:rPr>
        <w:tab/>
        <w:t>(c)</w:t>
      </w:r>
      <w:r w:rsidRPr="002963C8">
        <w:rPr>
          <w:rFonts w:eastAsia="Calibri"/>
          <w:szCs w:val="22"/>
          <w:u w:color="000000"/>
        </w:rPr>
        <w:tab/>
        <w:t xml:space="preserve">consumer protection and advocacy issues;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color="000000"/>
        </w:rPr>
        <w:tab/>
      </w:r>
      <w:r w:rsidRPr="002963C8">
        <w:rPr>
          <w:rFonts w:eastAsia="Calibri"/>
          <w:szCs w:val="22"/>
          <w:u w:color="000000"/>
        </w:rPr>
        <w:tab/>
        <w:t>(d)</w:t>
      </w:r>
      <w:r w:rsidRPr="002963C8">
        <w:rPr>
          <w:rFonts w:eastAsia="Calibri"/>
          <w:szCs w:val="22"/>
          <w:u w:color="000000"/>
        </w:rPr>
        <w:tab/>
        <w:t xml:space="preserve">water and wastewater issues;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color="000000"/>
        </w:rPr>
        <w:tab/>
      </w:r>
      <w:r w:rsidRPr="002963C8">
        <w:rPr>
          <w:rFonts w:eastAsia="Calibri"/>
          <w:szCs w:val="22"/>
          <w:u w:color="000000"/>
        </w:rPr>
        <w:tab/>
        <w:t>(e)</w:t>
      </w:r>
      <w:r w:rsidRPr="002963C8">
        <w:rPr>
          <w:rFonts w:eastAsia="Calibri"/>
          <w:szCs w:val="22"/>
          <w:u w:color="000000"/>
        </w:rPr>
        <w:tab/>
        <w:t xml:space="preserve">finance, economics, and statistics;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color="000000"/>
        </w:rPr>
        <w:tab/>
      </w:r>
      <w:r w:rsidRPr="002963C8">
        <w:rPr>
          <w:rFonts w:eastAsia="Calibri"/>
          <w:szCs w:val="22"/>
          <w:u w:color="000000"/>
        </w:rPr>
        <w:tab/>
        <w:t>(f)</w:t>
      </w:r>
      <w:r w:rsidRPr="002963C8">
        <w:rPr>
          <w:rFonts w:eastAsia="Calibri"/>
          <w:szCs w:val="22"/>
          <w:u w:color="000000"/>
        </w:rPr>
        <w:tab/>
        <w:t xml:space="preserve">accounting;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color="000000"/>
        </w:rPr>
        <w:tab/>
      </w:r>
      <w:r w:rsidRPr="002963C8">
        <w:rPr>
          <w:rFonts w:eastAsia="Calibri"/>
          <w:szCs w:val="22"/>
          <w:u w:color="000000"/>
        </w:rPr>
        <w:tab/>
        <w:t>(g)</w:t>
      </w:r>
      <w:r w:rsidRPr="002963C8">
        <w:rPr>
          <w:rFonts w:eastAsia="Calibri"/>
          <w:szCs w:val="22"/>
          <w:u w:color="000000"/>
        </w:rPr>
        <w:tab/>
        <w:t xml:space="preserve">engineering; or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color="000000"/>
        </w:rPr>
        <w:tab/>
      </w:r>
      <w:r w:rsidRPr="002963C8">
        <w:rPr>
          <w:rFonts w:eastAsia="Calibri"/>
          <w:szCs w:val="22"/>
          <w:u w:color="000000"/>
        </w:rPr>
        <w:tab/>
        <w:t>(h)</w:t>
      </w:r>
      <w:r w:rsidRPr="002963C8">
        <w:rPr>
          <w:rFonts w:eastAsia="Calibri"/>
          <w:szCs w:val="22"/>
          <w:u w:color="000000"/>
        </w:rPr>
        <w:tab/>
        <w:t xml:space="preserve">law.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t>(B)</w:t>
      </w:r>
      <w:r w:rsidRPr="002963C8">
        <w:rPr>
          <w:rFonts w:eastAsia="Calibri"/>
          <w:szCs w:val="22"/>
          <w:u w:color="000000"/>
        </w:rPr>
        <w:tab/>
      </w:r>
      <w:r w:rsidRPr="002963C8">
        <w:rPr>
          <w:rFonts w:eastAsia="Calibri"/>
          <w:strike/>
          <w:szCs w:val="22"/>
          <w:u w:color="000000"/>
        </w:rPr>
        <w:t>The review committee may find a candidate qualified although the candidate does not have a background of substantial duration and expertise in one of the eight enumerated areas contained in subsection (A)(2) of this section if three</w:t>
      </w:r>
      <w:r w:rsidRPr="002963C8">
        <w:rPr>
          <w:rFonts w:eastAsia="Calibri"/>
          <w:strike/>
          <w:szCs w:val="22"/>
          <w:u w:color="000000"/>
        </w:rPr>
        <w:noBreakHyphen/>
        <w:t>fourths of the review committee vote to qualify the candidate and provide written justification of their decision in the report as to the qualifications of the candidates.</w:t>
      </w:r>
      <w:r w:rsidRPr="002963C8">
        <w:rPr>
          <w:rFonts w:eastAsia="Calibri"/>
          <w:szCs w:val="22"/>
          <w:u w:color="000000"/>
        </w:rPr>
        <w:t xml:space="preserve">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trike/>
          <w:szCs w:val="22"/>
          <w:u w:color="000000"/>
        </w:rPr>
        <w:t>(C)</w:t>
      </w:r>
      <w:r w:rsidRPr="002963C8">
        <w:rPr>
          <w:rFonts w:eastAsia="Calibri"/>
          <w:szCs w:val="22"/>
          <w:u w:color="000000"/>
        </w:rPr>
        <w:tab/>
      </w:r>
      <w:r w:rsidRPr="002963C8">
        <w:rPr>
          <w:rFonts w:eastAsia="Calibri"/>
          <w:strike/>
          <w:szCs w:val="22"/>
          <w:u w:color="000000"/>
        </w:rPr>
        <w:t>The qualification provisions of subsection (A) of this section do not apply to the reelection of a commissioner elected by the General Assembly on March 3, 2004, so long as there is no break in service.</w:t>
      </w:r>
      <w:r w:rsidRPr="002963C8">
        <w:rPr>
          <w:rFonts w:eastAsia="Calibri"/>
          <w:szCs w:val="22"/>
          <w:u w:color="000000"/>
        </w:rPr>
        <w:t xml:space="preserve">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trike/>
          <w:szCs w:val="22"/>
          <w:u w:color="000000"/>
        </w:rPr>
        <w:t>(D)</w:t>
      </w:r>
      <w:r w:rsidRPr="002963C8">
        <w:rPr>
          <w:rFonts w:eastAsia="Calibri"/>
          <w:szCs w:val="22"/>
          <w:u w:color="000000"/>
        </w:rPr>
        <w:t>(1)</w:t>
      </w:r>
      <w:r w:rsidRPr="002963C8">
        <w:rPr>
          <w:rFonts w:eastAsia="Calibri"/>
          <w:szCs w:val="22"/>
          <w:u w:color="000000"/>
        </w:rPr>
        <w:tab/>
        <w:t xml:space="preserve">Beginning in 2004, the members of the Public Service Commission must be elected to staggered terms. In 2004, the members representing the Second, Fourth, and Sixth Congressional Districts must be elected for terms ending on June 30, 2006, and until their successors are elected and qualify. Thereafter, members representing the Second, Fourth, and Sixth Congressional Districts must be elected to terms of four years and until their successors are elected and qualify. In 2004, the members representing the First, Third, and Fifth Congressional Districts and the State at large must be elected for terms ending on June 30, 2008, and until their successors are elected and qualify. Thereafter, members representing the First, Third, and Fifth Congressional Districts and the State at large must be elected to terms of four years and until their successors are elected and qualify. Notwithstanding the provisions of this section, members representing the First, Third, and Fifth Congressional Districts shall serve until the expiration of their terms, and in 2013, members representing the First, Third, and Fifth Congressional Districts must be elected for terms ending on June 30, 2016, and until their successors are elected and qualified.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zCs w:val="22"/>
          <w:u w:color="000000"/>
        </w:rPr>
        <w:tab/>
        <w:t>(2)</w:t>
      </w:r>
      <w:r w:rsidRPr="002963C8">
        <w:rPr>
          <w:rFonts w:eastAsia="Calibri"/>
          <w:szCs w:val="22"/>
          <w:u w:color="000000"/>
        </w:rPr>
        <w:tab/>
        <w:t xml:space="preserve">In the event there are Seven Congressional Districts, the member elected from the State at large shall serve until the expiration of his term, and in 2013, a member representing the Seventh Congressional District must be elected for a term ending on June 30, 2016, and until his successor is elected and qualified. </w:t>
      </w:r>
      <w:r w:rsidRPr="002963C8">
        <w:rPr>
          <w:rFonts w:eastAsia="Calibri"/>
          <w:szCs w:val="22"/>
          <w:u w:color="000000"/>
        </w:rPr>
        <w:lastRenderedPageBreak/>
        <w:t>Thereafter, the member representing the Seventh Congressional District must be elected to terms of four years and until his successor is elected and qualified. Upon the election and qualification of the member representing the Seventh Congressional District, the at</w:t>
      </w:r>
      <w:r w:rsidR="002B70A7" w:rsidRPr="002B70A7">
        <w:rPr>
          <w:rFonts w:eastAsia="Calibri"/>
          <w:szCs w:val="22"/>
          <w:u w:val="single"/>
        </w:rPr>
        <w:t>-</w:t>
      </w:r>
      <w:r w:rsidRPr="002963C8">
        <w:rPr>
          <w:rFonts w:eastAsia="Calibri"/>
          <w:szCs w:val="22"/>
          <w:u w:color="000000"/>
        </w:rPr>
        <w:t xml:space="preserve">large member elected to satisfy the requirements of subsection (E) immediately shall cease to be a member of the commission.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trike/>
          <w:szCs w:val="22"/>
          <w:u w:color="000000"/>
        </w:rPr>
        <w:t>(E)</w:t>
      </w:r>
      <w:r w:rsidRPr="002963C8">
        <w:rPr>
          <w:rFonts w:eastAsia="Calibri"/>
          <w:szCs w:val="22"/>
          <w:u w:val="single" w:color="000000"/>
        </w:rPr>
        <w:t>(C)</w:t>
      </w:r>
      <w:r w:rsidRPr="002963C8">
        <w:rPr>
          <w:rFonts w:eastAsia="Calibri"/>
          <w:szCs w:val="22"/>
          <w:u w:color="000000"/>
        </w:rPr>
        <w:tab/>
        <w:t>The General Assembly must provide for the election of the seven</w:t>
      </w:r>
      <w:r w:rsidRPr="002963C8">
        <w:rPr>
          <w:rFonts w:eastAsia="Calibri"/>
          <w:szCs w:val="22"/>
          <w:u w:color="000000"/>
        </w:rPr>
        <w:noBreakHyphen/>
        <w:t>member commission and elect its members based upon the congressional districts established by the General Assembly pursuant to the latest official United States Decennial Census. If the number of congressional districts is less than seven, additional members must be elected at large to provide for a seven</w:t>
      </w:r>
      <w:r w:rsidRPr="002963C8">
        <w:rPr>
          <w:rFonts w:eastAsia="Calibri"/>
          <w:szCs w:val="22"/>
          <w:u w:color="000000"/>
        </w:rPr>
        <w:noBreakHyphen/>
        <w:t xml:space="preserve">member commission. In the event the congressional districts established by the General Assembly are under review by a court for compliance with statutory or constitutional requirements, an election scheduled pursuant to this section shall not be held until a final determination is made by the courts regarding the congressional districts. The inability to hold an election due to judicial review of the congressional districts does not constitute a vacancy on the commission and the commissioners serve until their successors are elected and qualify. </w:t>
      </w:r>
    </w:p>
    <w:p w:rsidR="002963C8" w:rsidRPr="002963C8" w:rsidRDefault="002963C8" w:rsidP="00296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963C8">
        <w:rPr>
          <w:rFonts w:eastAsia="Calibri"/>
          <w:szCs w:val="22"/>
          <w:u w:color="000000"/>
        </w:rPr>
        <w:tab/>
      </w:r>
      <w:r w:rsidRPr="002963C8">
        <w:rPr>
          <w:rFonts w:eastAsia="Calibri"/>
          <w:strike/>
          <w:szCs w:val="22"/>
          <w:u w:color="000000"/>
        </w:rPr>
        <w:t>(F)</w:t>
      </w:r>
      <w:r w:rsidRPr="002963C8">
        <w:rPr>
          <w:rFonts w:eastAsia="Calibri"/>
          <w:szCs w:val="22"/>
          <w:u w:val="single" w:color="000000"/>
        </w:rPr>
        <w:t>(D)</w:t>
      </w:r>
      <w:r w:rsidRPr="002963C8">
        <w:rPr>
          <w:rFonts w:eastAsia="Calibri"/>
          <w:szCs w:val="22"/>
          <w:u w:color="000000"/>
        </w:rPr>
        <w:tab/>
        <w:t xml:space="preserve">The Governor may fill vacancies in the office of commissioner until the successor in the office for a full term or an unexpired term, as applicable, has been elected by the General Assembly. In cases where a vacancy occurs on the commission when the General Assembly is not in session, the Governor may fill the vacancy by an interim appointment. The Governor must report the interim appointment to the General Assembly and must forward a formal appointment at its next ensuing regular session.” </w:t>
      </w:r>
    </w:p>
    <w:p w:rsidR="002963C8" w:rsidRDefault="002963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u w:color="000000"/>
        </w:rPr>
      </w:pPr>
    </w:p>
    <w:p w:rsidR="00FB7BA0" w:rsidRDefault="002963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63C8">
        <w:rPr>
          <w:rFonts w:eastAsia="Calibri"/>
          <w:szCs w:val="22"/>
          <w:u w:color="000000"/>
        </w:rPr>
        <w:t>SECTION</w:t>
      </w:r>
      <w:r w:rsidRPr="002963C8">
        <w:rPr>
          <w:rFonts w:eastAsia="Calibri"/>
          <w:szCs w:val="22"/>
          <w:u w:color="000000"/>
        </w:rPr>
        <w:tab/>
        <w:t>5.</w:t>
      </w:r>
      <w:r w:rsidRPr="002963C8">
        <w:rPr>
          <w:rFonts w:eastAsia="Calibri"/>
          <w:szCs w:val="22"/>
          <w:u w:color="000000"/>
        </w:rPr>
        <w:tab/>
        <w:t>This act takes effect upon approval by the Governor.</w:t>
      </w:r>
    </w:p>
    <w:p w:rsidR="00B12731" w:rsidRDefault="005C1A1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4ECC" w:rsidRDefault="002C4ECC" w:rsidP="002C4ECC">
      <w:pPr>
        <w:suppressAutoHyphens/>
      </w:pPr>
    </w:p>
    <w:sectPr w:rsidR="002C4ECC" w:rsidSect="00D966E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7BA0" w:rsidRDefault="00FB7BA0" w:rsidP="009F0C77">
      <w:r>
        <w:separator/>
      </w:r>
    </w:p>
  </w:endnote>
  <w:endnote w:type="continuationSeparator" w:id="0">
    <w:p w:rsidR="00FB7BA0" w:rsidRDefault="00FB7B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6F8413C-A3F0-4C50-9449-4F8FB6272D7B}"/>
    <w:embedBold r:id="rId2" w:fontKey="{CF7EEE5E-A92A-4206-9EEE-E562355E0770}"/>
  </w:font>
  <w:font w:name="Calibri">
    <w:panose1 w:val="020F0502020204030204"/>
    <w:charset w:val="00"/>
    <w:family w:val="swiss"/>
    <w:pitch w:val="variable"/>
    <w:sig w:usb0="E4002EFF" w:usb1="C000247B" w:usb2="00000009" w:usb3="00000000" w:csb0="000001FF" w:csb1="00000000"/>
    <w:embedRegular r:id="rId3" w:fontKey="{3BF4402A-B7A8-41D0-9559-9D78568BD6D2}"/>
  </w:font>
  <w:font w:name="Segoe UI">
    <w:panose1 w:val="020B0502040204020203"/>
    <w:charset w:val="00"/>
    <w:family w:val="swiss"/>
    <w:pitch w:val="variable"/>
    <w:sig w:usb0="E4002EFF" w:usb1="C000E47F" w:usb2="00000009" w:usb3="00000000" w:csb0="000001FF" w:csb1="00000000"/>
    <w:embedRegular r:id="rId4" w:fontKey="{BB0B1635-A463-4648-BC23-82B36192F7F0}"/>
  </w:font>
  <w:font w:name="Cambria">
    <w:panose1 w:val="02040503050406030204"/>
    <w:charset w:val="00"/>
    <w:family w:val="roman"/>
    <w:pitch w:val="variable"/>
    <w:sig w:usb0="E00006FF" w:usb1="420024FF" w:usb2="02000000" w:usb3="00000000" w:csb0="0000019F" w:csb1="00000000"/>
    <w:embedRegular r:id="rId5" w:fontKey="{63516B72-4E22-4318-AED9-F6D62F122AC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2731" w:rsidRPr="00A64CE4" w:rsidRDefault="00A64CE4" w:rsidP="00A64CE4">
    <w:pPr>
      <w:pStyle w:val="Footer"/>
      <w:tabs>
        <w:tab w:val="clear" w:pos="4680"/>
        <w:tab w:val="clear" w:pos="9360"/>
        <w:tab w:val="center" w:pos="2995"/>
      </w:tabs>
      <w:spacing w:before="120"/>
    </w:pPr>
    <w:r>
      <w:t>[4062</w:t>
    </w:r>
    <w:r w:rsidR="00D966E0">
      <w:t>-</w:t>
    </w:r>
    <w:r w:rsidR="00D966E0">
      <w:fldChar w:fldCharType="begin"/>
    </w:r>
    <w:r w:rsidR="00D966E0">
      <w:instrText xml:space="preserve"> PAGE  \* MERGEFORMAT </w:instrText>
    </w:r>
    <w:r w:rsidR="00D966E0">
      <w:fldChar w:fldCharType="separate"/>
    </w:r>
    <w:r w:rsidR="002C4ECC">
      <w:rPr>
        <w:noProof/>
      </w:rPr>
      <w:t>2</w:t>
    </w:r>
    <w:r w:rsidR="00D966E0">
      <w:fldChar w:fldCharType="end"/>
    </w:r>
    <w:r w:rsidR="00D966E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6E0" w:rsidRPr="00A64CE4" w:rsidRDefault="00D966E0" w:rsidP="00A64CE4">
    <w:pPr>
      <w:pStyle w:val="Footer"/>
      <w:tabs>
        <w:tab w:val="clear" w:pos="4680"/>
        <w:tab w:val="clear" w:pos="9360"/>
        <w:tab w:val="center" w:pos="2995"/>
      </w:tabs>
      <w:spacing w:before="120"/>
    </w:pPr>
    <w:r>
      <w:t>[4062]</w:t>
    </w:r>
    <w:r>
      <w:tab/>
    </w:r>
    <w:r>
      <w:fldChar w:fldCharType="begin"/>
    </w:r>
    <w:r>
      <w:instrText xml:space="preserve"> PAGE  \* MERGEFORMAT </w:instrText>
    </w:r>
    <w:r>
      <w:fldChar w:fldCharType="separate"/>
    </w:r>
    <w:r w:rsidR="002C4EC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7BA0" w:rsidRDefault="00FB7BA0" w:rsidP="009F0C77">
      <w:r>
        <w:separator/>
      </w:r>
    </w:p>
  </w:footnote>
  <w:footnote w:type="continuationSeparator" w:id="0">
    <w:p w:rsidR="00FB7BA0" w:rsidRDefault="00FB7B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86PH21"/>
    <w:docVar w:name="CoverBillType" w:val="b"/>
    <w:docVar w:name="DocPath" w:val="L:\Council\bills\JN\3386PH21.DOCX"/>
    <w:docVar w:name="dvBillNumber" w:val="4062"/>
    <w:docVar w:name="dvBillNumberPrefix" w:val="H. "/>
    <w:docVar w:name="dvOriginalBody" w:val="House"/>
    <w:docVar w:name="dvSteno" w:val="JN"/>
    <w:docVar w:name="NameofBody" w:val="h"/>
    <w:docVar w:name="vGroup2" w:val="Council"/>
  </w:docVars>
  <w:rsids>
    <w:rsidRoot w:val="00FB7BA0"/>
    <w:rsid w:val="00011869"/>
    <w:rsid w:val="00015CD6"/>
    <w:rsid w:val="00073A3B"/>
    <w:rsid w:val="000E0100"/>
    <w:rsid w:val="000E1785"/>
    <w:rsid w:val="000F40FA"/>
    <w:rsid w:val="001035F1"/>
    <w:rsid w:val="0010776B"/>
    <w:rsid w:val="00133E66"/>
    <w:rsid w:val="001435A3"/>
    <w:rsid w:val="00146ED3"/>
    <w:rsid w:val="00151044"/>
    <w:rsid w:val="001B6178"/>
    <w:rsid w:val="001C6607"/>
    <w:rsid w:val="001D08F2"/>
    <w:rsid w:val="001D3A58"/>
    <w:rsid w:val="001D4DA5"/>
    <w:rsid w:val="001D525B"/>
    <w:rsid w:val="001D7F4F"/>
    <w:rsid w:val="00205238"/>
    <w:rsid w:val="002321B6"/>
    <w:rsid w:val="00232912"/>
    <w:rsid w:val="00250967"/>
    <w:rsid w:val="002543C8"/>
    <w:rsid w:val="0025541D"/>
    <w:rsid w:val="00284AAE"/>
    <w:rsid w:val="002963C8"/>
    <w:rsid w:val="002B70A7"/>
    <w:rsid w:val="002C4ECC"/>
    <w:rsid w:val="002E0356"/>
    <w:rsid w:val="002E5912"/>
    <w:rsid w:val="00301B21"/>
    <w:rsid w:val="00325348"/>
    <w:rsid w:val="0032732C"/>
    <w:rsid w:val="00336AD0"/>
    <w:rsid w:val="0035593B"/>
    <w:rsid w:val="003661F0"/>
    <w:rsid w:val="0037079A"/>
    <w:rsid w:val="0037679F"/>
    <w:rsid w:val="003C4DAB"/>
    <w:rsid w:val="003D01E8"/>
    <w:rsid w:val="003E5288"/>
    <w:rsid w:val="003F6D79"/>
    <w:rsid w:val="0041760A"/>
    <w:rsid w:val="00417C01"/>
    <w:rsid w:val="004403BD"/>
    <w:rsid w:val="00461441"/>
    <w:rsid w:val="004809EE"/>
    <w:rsid w:val="004A4448"/>
    <w:rsid w:val="004E7D54"/>
    <w:rsid w:val="004F44EF"/>
    <w:rsid w:val="005273C6"/>
    <w:rsid w:val="00530A69"/>
    <w:rsid w:val="005401AF"/>
    <w:rsid w:val="00545593"/>
    <w:rsid w:val="00556EBF"/>
    <w:rsid w:val="00577C6C"/>
    <w:rsid w:val="005A62FE"/>
    <w:rsid w:val="005C1A18"/>
    <w:rsid w:val="005C2FE2"/>
    <w:rsid w:val="005E2BC9"/>
    <w:rsid w:val="00605102"/>
    <w:rsid w:val="006215AA"/>
    <w:rsid w:val="006913C9"/>
    <w:rsid w:val="0069470D"/>
    <w:rsid w:val="006A3FB0"/>
    <w:rsid w:val="006D58AA"/>
    <w:rsid w:val="00734F00"/>
    <w:rsid w:val="00736959"/>
    <w:rsid w:val="00774AAE"/>
    <w:rsid w:val="007A70AE"/>
    <w:rsid w:val="008362E8"/>
    <w:rsid w:val="0085786E"/>
    <w:rsid w:val="008A1768"/>
    <w:rsid w:val="008A489F"/>
    <w:rsid w:val="008F0F33"/>
    <w:rsid w:val="008F4429"/>
    <w:rsid w:val="009221C9"/>
    <w:rsid w:val="00923820"/>
    <w:rsid w:val="0094021A"/>
    <w:rsid w:val="009B44AF"/>
    <w:rsid w:val="009C6A0B"/>
    <w:rsid w:val="009F0C77"/>
    <w:rsid w:val="009F4DD1"/>
    <w:rsid w:val="00A02543"/>
    <w:rsid w:val="00A41684"/>
    <w:rsid w:val="00A64CE4"/>
    <w:rsid w:val="00A64E80"/>
    <w:rsid w:val="00A67EF4"/>
    <w:rsid w:val="00A72BCD"/>
    <w:rsid w:val="00A741D9"/>
    <w:rsid w:val="00A833AB"/>
    <w:rsid w:val="00A9741D"/>
    <w:rsid w:val="00AA6D61"/>
    <w:rsid w:val="00AC34A2"/>
    <w:rsid w:val="00AD1C9A"/>
    <w:rsid w:val="00AD4B17"/>
    <w:rsid w:val="00B12731"/>
    <w:rsid w:val="00B412D4"/>
    <w:rsid w:val="00B64FFF"/>
    <w:rsid w:val="00BB64C6"/>
    <w:rsid w:val="00BE2B86"/>
    <w:rsid w:val="00BE3C22"/>
    <w:rsid w:val="00C0345E"/>
    <w:rsid w:val="00C21ABE"/>
    <w:rsid w:val="00C31C95"/>
    <w:rsid w:val="00C3483A"/>
    <w:rsid w:val="00C74E9D"/>
    <w:rsid w:val="00C826DD"/>
    <w:rsid w:val="00C82FD3"/>
    <w:rsid w:val="00C92819"/>
    <w:rsid w:val="00C94B71"/>
    <w:rsid w:val="00CB08B4"/>
    <w:rsid w:val="00CC6B7B"/>
    <w:rsid w:val="00CD2089"/>
    <w:rsid w:val="00CE66A8"/>
    <w:rsid w:val="00CF54CE"/>
    <w:rsid w:val="00D73A67"/>
    <w:rsid w:val="00D802A6"/>
    <w:rsid w:val="00D966E0"/>
    <w:rsid w:val="00D970A9"/>
    <w:rsid w:val="00DB7F3D"/>
    <w:rsid w:val="00DD318E"/>
    <w:rsid w:val="00DF3845"/>
    <w:rsid w:val="00E0516C"/>
    <w:rsid w:val="00E271EE"/>
    <w:rsid w:val="00E4003B"/>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B7BA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FD188"/>
  <w15:docId w15:val="{5B7E408F-4A2A-43FE-BEEB-0A1F19EBC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E66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66A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0F2441-4401-4816-BAC3-1161D2061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1953</Words>
  <Characters>10355</Characters>
  <Application>Microsoft Office Word</Application>
  <DocSecurity>0</DocSecurity>
  <Lines>253</Lines>
  <Paragraphs>57</Paragraphs>
  <ScaleCrop>false</ScaleCrop>
  <HeadingPairs>
    <vt:vector size="2" baseType="variant">
      <vt:variant>
        <vt:lpstr>Title</vt:lpstr>
      </vt:variant>
      <vt:variant>
        <vt:i4>1</vt:i4>
      </vt:variant>
    </vt:vector>
  </HeadingPairs>
  <TitlesOfParts>
    <vt:vector size="1" baseType="lpstr">
      <vt:lpstr>2021-2022 Bill 4062: Subject not yet available - South Carolina Legislature Online</vt:lpstr>
    </vt:vector>
  </TitlesOfParts>
  <Company>LPITS</Company>
  <LinksUpToDate>false</LinksUpToDate>
  <CharactersWithSpaces>12367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4062 Text of Previous Version (Apr. 21, 2022) - South Carolina Legislature Online</dc:title>
  <dc:creator>Julie Newboult</dc:creator>
  <cp:lastModifiedBy>Danny Crook</cp:lastModifiedBy>
  <cp:revision>2</cp:revision>
  <cp:lastPrinted>2021-04-06T23:53:00Z</cp:lastPrinted>
  <dcterms:created xsi:type="dcterms:W3CDTF">2022-04-21T19:15:00Z</dcterms:created>
  <dcterms:modified xsi:type="dcterms:W3CDTF">2022-04-21T19:15:00Z</dcterms:modified>
</cp:coreProperties>
</file>