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PLEASE DO NOT REMOVE THIS COPY FROM JACKET</w:t>
      </w:r>
    </w:p>
    <w:p w:rsidR="00687B1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(4408C002.NBD.DG22)</w:t>
      </w:r>
    </w:p>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FFD" w:rsidRPr="009B6778" w:rsidRDefault="009B6778" w:rsidP="009B6778">
      <w:pPr>
        <w:tabs>
          <w:tab w:val="right" w:pos="5933"/>
        </w:tabs>
        <w:suppressAutoHyphens/>
      </w:pPr>
      <w:r>
        <w:tab/>
      </w:r>
      <w:r>
        <w:rPr>
          <w:b/>
          <w:sz w:val="36"/>
        </w:rPr>
        <w:t>H. 4408</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78" w:rsidRDefault="009B6778" w:rsidP="009B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9B6778" w:rsidRPr="009B6778" w:rsidRDefault="009B6778" w:rsidP="009B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778"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E45304"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46FD"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17E8">
        <w:t>Part I</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Authorization to Expend Federal Funds</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w:t>
      </w:r>
      <w:r w:rsidRPr="004117E8">
        <w:rPr>
          <w:u w:color="000000" w:themeColor="text1"/>
        </w:rPr>
        <w:tab/>
        <w:t>(</w:t>
      </w:r>
      <w:bookmarkStart w:id="5" w:name="temp"/>
      <w:bookmarkEnd w:id="5"/>
      <w:r w:rsidRPr="004117E8">
        <w:rPr>
          <w:u w:color="000000" w:themeColor="text1"/>
        </w:rPr>
        <w:t>A)</w:t>
      </w:r>
      <w:r w:rsidRPr="004117E8">
        <w:rPr>
          <w:u w:color="000000" w:themeColor="text1"/>
        </w:rPr>
        <w:tab/>
        <w:t xml:space="preserve">The source of revenue authorized for expenditure in this section is (i) the State Fiscal Recovery Funds and (ii) the Capital Projects Fund disbursed to the State pursuant to the federal “American Rescue Plan Act </w:t>
      </w:r>
      <w:r w:rsidRPr="004117E8">
        <w:t>of 2021</w:t>
      </w:r>
      <w:r w:rsidRPr="004117E8">
        <w:rPr>
          <w:u w:color="000000" w:themeColor="text1"/>
        </w:rPr>
        <w:t>”, Public Law No. 117-2, (hereinafter referred to as “ARPA”). The expenditure authorizations contained in this section are for the maximum amounts that may be disbursed or expended by the receiving government entity. All disbursals and expenditures must be made in compliance with the provisions contained in this act. The receiving entities are: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(1)</w:t>
      </w:r>
      <w:r w:rsidRPr="004117E8">
        <w:rPr>
          <w:szCs w:val="32"/>
          <w:u w:color="000000" w:themeColor="text1"/>
        </w:rPr>
        <w:tab/>
        <w:t>Department of Transportation.………...…..$453,499,758</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r>
      <w:r w:rsidRPr="004117E8">
        <w:rPr>
          <w:u w:color="000000" w:themeColor="text1"/>
        </w:rPr>
        <w:tab/>
        <w:t xml:space="preserve">Of the amount authorized for expenditure by the Department of Transportation $297,462,293 is reimbursement for </w:t>
      </w:r>
      <w:r w:rsidRPr="004117E8">
        <w:t>g</w:t>
      </w:r>
      <w:r w:rsidRPr="004117E8">
        <w:rPr>
          <w:u w:color="000000" w:themeColor="text1"/>
        </w:rPr>
        <w:t xml:space="preserve">eneral </w:t>
      </w:r>
      <w:r w:rsidRPr="004117E8">
        <w:t>f</w:t>
      </w:r>
      <w:r w:rsidRPr="004117E8">
        <w:rPr>
          <w:u w:color="000000" w:themeColor="text1"/>
        </w:rPr>
        <w:t>und and Education Improvement Act revenue not collected and $156,037,465 is reimbursement for motor fuel user fee revenue not collected due to the COVID-19 pandemic as calculated by the Executive Budget Office.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(2)</w:t>
      </w:r>
      <w:r w:rsidRPr="004117E8">
        <w:rPr>
          <w:szCs w:val="32"/>
          <w:u w:color="000000" w:themeColor="text1"/>
        </w:rPr>
        <w:tab/>
        <w:t>Rural Infrastructure Authority……………..$900,000,000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(3)</w:t>
      </w:r>
      <w:r w:rsidRPr="004117E8">
        <w:rPr>
          <w:szCs w:val="32"/>
          <w:u w:color="000000" w:themeColor="text1"/>
        </w:rPr>
        <w:tab/>
        <w:t>O</w:t>
      </w:r>
      <w:r>
        <w:rPr>
          <w:szCs w:val="32"/>
          <w:u w:color="000000" w:themeColor="text1"/>
        </w:rPr>
        <w:t>ffice of Regulatory Staff.………</w:t>
      </w:r>
      <w:r w:rsidRPr="004117E8">
        <w:rPr>
          <w:szCs w:val="32"/>
          <w:u w:color="000000" w:themeColor="text1"/>
        </w:rPr>
        <w:t>………...$400,000,000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lastRenderedPageBreak/>
        <w:tab/>
      </w:r>
      <w:r w:rsidRPr="004117E8">
        <w:rPr>
          <w:u w:color="000000" w:themeColor="text1"/>
        </w:rPr>
        <w:tab/>
      </w:r>
      <w:r w:rsidRPr="004117E8">
        <w:rPr>
          <w:u w:color="000000" w:themeColor="text1"/>
        </w:rPr>
        <w:tab/>
        <w:t>Of the amount authorized for expenditure by the Office of Regulatory Staff $185,765,655 is from the Capital Projects Fund and the remaining $214, 234,345 is from the State Fiscal Recovery Funds disbursed to the State pursuant to ARPA.</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(4)</w:t>
      </w:r>
      <w:r w:rsidRPr="004117E8">
        <w:rPr>
          <w:szCs w:val="32"/>
          <w:u w:color="000000" w:themeColor="text1"/>
        </w:rPr>
        <w:tab/>
        <w:t xml:space="preserve">Department of Health and Environmental </w:t>
      </w:r>
      <w:r>
        <w:rPr>
          <w:szCs w:val="32"/>
          <w:u w:color="000000" w:themeColor="text1"/>
        </w:rPr>
        <w:t>Control………………...………………</w:t>
      </w:r>
      <w:r w:rsidRPr="004117E8">
        <w:rPr>
          <w:szCs w:val="32"/>
          <w:u w:color="000000" w:themeColor="text1"/>
        </w:rPr>
        <w:t>……………..$104,400,000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r>
      <w:r>
        <w:rPr>
          <w:szCs w:val="32"/>
          <w:u w:color="000000" w:themeColor="text1"/>
        </w:rPr>
        <w:t>(5)</w:t>
      </w:r>
      <w:r>
        <w:rPr>
          <w:szCs w:val="32"/>
          <w:u w:color="000000" w:themeColor="text1"/>
        </w:rPr>
        <w:tab/>
        <w:t>Office of Resilience……………</w:t>
      </w:r>
      <w:r w:rsidRPr="004117E8">
        <w:rPr>
          <w:szCs w:val="32"/>
          <w:u w:color="000000" w:themeColor="text1"/>
        </w:rPr>
        <w:t>…</w:t>
      </w:r>
      <w:r>
        <w:rPr>
          <w:szCs w:val="32"/>
          <w:u w:color="000000" w:themeColor="text1"/>
        </w:rPr>
        <w:t>.</w:t>
      </w:r>
      <w:r w:rsidRPr="004117E8">
        <w:rPr>
          <w:szCs w:val="32"/>
          <w:u w:color="000000" w:themeColor="text1"/>
        </w:rPr>
        <w:t>………$100,000,000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(6)</w:t>
      </w:r>
      <w:r w:rsidRPr="004117E8">
        <w:rPr>
          <w:szCs w:val="32"/>
          <w:u w:color="000000" w:themeColor="text1"/>
        </w:rPr>
        <w:tab/>
        <w:t>Department of Administration……</w:t>
      </w:r>
      <w:r>
        <w:rPr>
          <w:szCs w:val="32"/>
          <w:u w:color="000000" w:themeColor="text1"/>
        </w:rPr>
        <w:t>.</w:t>
      </w:r>
      <w:r w:rsidRPr="004117E8">
        <w:rPr>
          <w:szCs w:val="32"/>
          <w:u w:color="000000" w:themeColor="text1"/>
        </w:rPr>
        <w:t>…..……..$8,000,000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(B)</w:t>
      </w:r>
      <w:r w:rsidRPr="004117E8">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Part II</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Directives to State Agencies Concerning the Authorization to Expend Federal Funds</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Department of Transportation</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2.</w:t>
      </w:r>
      <w:r w:rsidRPr="004117E8">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3.</w:t>
      </w:r>
      <w:r w:rsidRPr="004117E8">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Rural Infrastructure Authority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4.</w:t>
      </w:r>
      <w:r w:rsidRPr="004117E8">
        <w:tab/>
        <w:t xml:space="preserve">There is established in the State Treasury an account to be known as the ARPA Water and Sewer Infrastructure Account. </w:t>
      </w:r>
      <w:r w:rsidRPr="004117E8">
        <w:lastRenderedPageBreak/>
        <w:t>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 units of local government, special purpose districts, commissions of public works, and joint municipal organizations may apply for grants. A unit of local government may apply for a grant on behalf of non-profit water and sewer systems. Grants may be awarded for the completion of water, wastewater, and storm water projects as defined in ARPA.</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t>SECTION</w:t>
      </w:r>
      <w:r w:rsidRPr="004117E8">
        <w:tab/>
        <w:t>5.</w:t>
      </w:r>
      <w:r w:rsidRPr="004117E8">
        <w:tab/>
        <w:t>(A)</w:t>
      </w:r>
      <w:r w:rsidRPr="004117E8">
        <w:tab/>
      </w:r>
      <w:r w:rsidRPr="004117E8">
        <w:rPr>
          <w:u w:color="000000" w:themeColor="text1"/>
        </w:rPr>
        <w:t xml:space="preserve">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w:t>
      </w:r>
      <w:r w:rsidRPr="004117E8">
        <w:t xml:space="preserve">One hundred million dollars shall be available for projects designated by the Secretary of Commerce as being significant to economic development and may be funded at up to fifty million dollars per project with no local match requirement.  </w:t>
      </w:r>
      <w:r w:rsidRPr="004117E8">
        <w:rPr>
          <w:u w:color="000000" w:themeColor="text1"/>
        </w:rPr>
        <w:t>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tab/>
        <w:t>(B)</w:t>
      </w:r>
      <w:r w:rsidRPr="004117E8">
        <w:tab/>
        <w:t xml:space="preserve">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w:t>
      </w:r>
      <w:r w:rsidRPr="004117E8">
        <w:rPr>
          <w:u w:color="000000" w:themeColor="text1"/>
        </w:rPr>
        <w:t xml:space="preserve">or are located in a Tier III or Tier IV county </w:t>
      </w:r>
      <w:r w:rsidRPr="004117E8">
        <w:rPr>
          <w:u w:color="000000" w:themeColor="text1"/>
        </w:rPr>
        <w:lastRenderedPageBreak/>
        <w:t>at the time of the grant pursuant to Section 12</w:t>
      </w:r>
      <w:r w:rsidRPr="004117E8">
        <w:rPr>
          <w:u w:color="000000" w:themeColor="text1"/>
        </w:rPr>
        <w:noBreakHyphen/>
        <w:t>6</w:t>
      </w:r>
      <w:r w:rsidRPr="004117E8">
        <w:rPr>
          <w:u w:color="000000" w:themeColor="text1"/>
        </w:rPr>
        <w:noBreakHyphen/>
        <w:t>3360 of the 1976 Code</w:t>
      </w:r>
      <w:r w:rsidRPr="004117E8">
        <w:t>, shall be eligible for forty percent of the funds.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(C)</w:t>
      </w:r>
      <w:r w:rsidRPr="004117E8">
        <w:rPr>
          <w:u w:color="000000" w:themeColor="text1"/>
        </w:rPr>
        <w:tab/>
        <w:t xml:space="preserve">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(D)</w:t>
      </w:r>
      <w:r w:rsidRPr="004117E8">
        <w:rPr>
          <w:u w:color="000000" w:themeColor="text1"/>
        </w:rPr>
        <w:tab/>
        <w:t>Priority consideration must be given to applications for projects based upon a comparative analysis in the following relative order of need: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(1)</w:t>
      </w:r>
      <w:r w:rsidRPr="004117E8">
        <w:rPr>
          <w:u w:color="000000" w:themeColor="text1"/>
        </w:rPr>
        <w:tab/>
        <w:t xml:space="preserve">regional solutions </w:t>
      </w:r>
      <w:r w:rsidRPr="004117E8">
        <w:rPr>
          <w:u w:color="000000" w:themeColor="text1"/>
        </w:rPr>
        <w:noBreakHyphen/>
        <w:t xml:space="preserve"> projects that implement solutions that impact multiple systems;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(2)</w:t>
      </w:r>
      <w:r w:rsidRPr="004117E8">
        <w:rPr>
          <w:u w:color="000000" w:themeColor="text1"/>
        </w:rPr>
        <w:tab/>
        <w:t xml:space="preserve">water quality </w:t>
      </w:r>
      <w:r w:rsidRPr="004117E8">
        <w:rPr>
          <w:u w:color="000000" w:themeColor="text1"/>
        </w:rPr>
        <w:noBreakHyphen/>
        <w:t xml:space="preserve"> projects that address consent orders, violations, or other public health or environmental impacts;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(3)</w:t>
      </w:r>
      <w:r w:rsidRPr="004117E8">
        <w:rPr>
          <w:u w:color="000000" w:themeColor="text1"/>
        </w:rPr>
        <w:tab/>
        <w:t xml:space="preserve">resilience and storm protection </w:t>
      </w:r>
      <w:r w:rsidRPr="004117E8">
        <w:rPr>
          <w:u w:color="000000" w:themeColor="text1"/>
        </w:rPr>
        <w:noBreakHyphen/>
        <w:t xml:space="preserve"> projects that help utilities prepare for emergencies;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(4)</w:t>
      </w:r>
      <w:r w:rsidRPr="004117E8">
        <w:rPr>
          <w:u w:color="000000" w:themeColor="text1"/>
        </w:rPr>
        <w:tab/>
        <w:t xml:space="preserve">other aging infrastructure </w:t>
      </w:r>
      <w:r w:rsidRPr="004117E8">
        <w:rPr>
          <w:u w:color="000000" w:themeColor="text1"/>
        </w:rPr>
        <w:noBreakHyphen/>
        <w:t xml:space="preserve"> projects that upgrade or replace infrastructure that has exceeded its useful life;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(5)</w:t>
      </w:r>
      <w:r w:rsidRPr="004117E8">
        <w:rPr>
          <w:u w:color="000000" w:themeColor="text1"/>
        </w:rPr>
        <w:tab/>
        <w:t xml:space="preserve">capacity </w:t>
      </w:r>
      <w:r w:rsidRPr="004117E8">
        <w:rPr>
          <w:u w:color="000000" w:themeColor="text1"/>
        </w:rPr>
        <w:noBreakHyphen/>
        <w:t xml:space="preserve"> projects that improve service for existing residents while preparing for future opportunities.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(E)</w:t>
      </w:r>
      <w:r w:rsidRPr="004117E8">
        <w:rPr>
          <w:u w:color="000000" w:themeColor="text1"/>
        </w:rPr>
        <w:tab/>
        <w:t>To provide for equitable distribution of funds from the account, the following factors must be considered when awarding grants: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(1)</w:t>
      </w:r>
      <w:r w:rsidRPr="004117E8">
        <w:rPr>
          <w:u w:color="000000" w:themeColor="text1"/>
        </w:rPr>
        <w:tab/>
        <w:t>documented priority needs;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(2)</w:t>
      </w:r>
      <w:r w:rsidRPr="004117E8">
        <w:rPr>
          <w:u w:color="000000" w:themeColor="text1"/>
        </w:rPr>
        <w:tab/>
        <w:t>the transformational impact of the project on the relevant community;</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(3)</w:t>
      </w:r>
      <w:r w:rsidRPr="004117E8">
        <w:rPr>
          <w:u w:color="000000" w:themeColor="text1"/>
        </w:rPr>
        <w:tab/>
        <w:t>the extent to which additional funds may be leveraged by the grant;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(4)</w:t>
      </w:r>
      <w:r w:rsidRPr="004117E8">
        <w:rPr>
          <w:u w:color="000000" w:themeColor="text1"/>
        </w:rPr>
        <w:tab/>
        <w:t>the readiness of the applicant to proceed with the project and meet program deadlines;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(5)</w:t>
      </w:r>
      <w:r w:rsidRPr="004117E8">
        <w:rPr>
          <w:u w:color="000000" w:themeColor="text1"/>
        </w:rPr>
        <w:tab/>
        <w:t>the project’s feasibility;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(6)</w:t>
      </w:r>
      <w:r w:rsidRPr="004117E8">
        <w:rPr>
          <w:u w:color="000000" w:themeColor="text1"/>
        </w:rPr>
        <w:tab/>
        <w:t>geographic diversity.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6.</w:t>
      </w:r>
      <w:r w:rsidRPr="004117E8">
        <w:rPr>
          <w:u w:color="000000" w:themeColor="text1"/>
        </w:rPr>
        <w:tab/>
        <w:t>(A)</w:t>
      </w:r>
      <w:r w:rsidRPr="004117E8">
        <w:rPr>
          <w:u w:color="000000" w:themeColor="text1"/>
        </w:rPr>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w:t>
      </w:r>
      <w:r w:rsidRPr="004117E8">
        <w:rPr>
          <w:u w:color="000000" w:themeColor="text1"/>
        </w:rPr>
        <w:lastRenderedPageBreak/>
        <w:t>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 people.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(B)</w:t>
      </w:r>
      <w:r w:rsidRPr="004117E8">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7.</w:t>
      </w:r>
      <w:r w:rsidRPr="004117E8">
        <w:tab/>
        <w:t>(A)</w:t>
      </w:r>
      <w:r w:rsidRPr="004117E8">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(B)</w:t>
      </w:r>
      <w:r w:rsidRPr="004117E8">
        <w:tab/>
        <w:t>Local financial support equal to or greater than fifteen 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(C)</w:t>
      </w:r>
      <w:r w:rsidRPr="004117E8">
        <w:tab/>
        <w:t>Priority consideration will be given to applications for projects based upon a comparative analysis in the following relative order of need: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(1)</w:t>
      </w:r>
      <w:r w:rsidRPr="004117E8">
        <w:tab/>
        <w:t>the project results in a consolidation or operating agreement with at least one small system with viability concerns;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(2)</w:t>
      </w:r>
      <w:r w:rsidRPr="004117E8">
        <w:tab/>
        <w:t>the project results in an expanded partnership agreement with at least one small system with viability concerns;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(3)</w:t>
      </w:r>
      <w:r w:rsidRPr="004117E8">
        <w:tab/>
        <w:t xml:space="preserve">the project results in a consolidation or operating agreement with other systems. </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lastRenderedPageBreak/>
        <w:tab/>
        <w:t>(D)</w:t>
      </w:r>
      <w:r w:rsidRPr="004117E8">
        <w:tab/>
        <w:t>To provide for equitable distribution of funds from the account, the following factors must be considered when awarding grants: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(1)</w:t>
      </w:r>
      <w:r w:rsidRPr="004117E8">
        <w:tab/>
        <w:t>documented priority needs;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(2)</w:t>
      </w:r>
      <w:r w:rsidRPr="004117E8">
        <w:tab/>
        <w:t>the transformational impact of the project on the relevant community;</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(3)</w:t>
      </w:r>
      <w:r w:rsidRPr="004117E8">
        <w:tab/>
        <w:t>the extent to which additional funds may be leveraged by the grant;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(4)</w:t>
      </w:r>
      <w:r w:rsidRPr="004117E8">
        <w:tab/>
        <w:t>the readiness of the applicant to proceed with the project and meet program deadlines;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(5)</w:t>
      </w:r>
      <w:r w:rsidRPr="004117E8">
        <w:tab/>
        <w:t>the project’s feasibility;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(6)</w:t>
      </w:r>
      <w:r w:rsidRPr="004117E8">
        <w:tab/>
        <w:t>geographic diversity.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8.</w:t>
      </w:r>
      <w:r w:rsidRPr="004117E8">
        <w:tab/>
        <w:t>The Rural Infrastructure Authority shall be permitted to modify or waive the program parameters contained in SECTIONS 4, 5, 6, and 7 to ensure the timely and equitable distribution of funds in compliance with federal guidelines for these funds. Modifications to funding amounts authorized for specific use by each program must first be submitted with justification to the Joint Bond Review Committee for review and comment.</w:t>
      </w:r>
      <w:r w:rsidRPr="004117E8">
        <w:rPr>
          <w:i/>
        </w:rPr>
        <w:t xml:space="preserve"> </w:t>
      </w:r>
      <w:r w:rsidRPr="004117E8">
        <w:t>The Rural Infrastructure Authority shall submit a report of all other modifications to the Joint Bond Review Committee.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Office of Regulatory Staff</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t>SECTION</w:t>
      </w:r>
      <w:r w:rsidRPr="004117E8">
        <w:tab/>
        <w:t>9.</w:t>
      </w:r>
      <w:r w:rsidRPr="004117E8">
        <w:tab/>
        <w:t xml:space="preserve">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 </w:t>
      </w:r>
      <w:r w:rsidRPr="004117E8">
        <w:rPr>
          <w:u w:color="000000" w:themeColor="text1"/>
        </w:rPr>
        <w:t>Unserved areas are defined as households that lack access to a wireline connection capable of reliably delivering at least minimum speeds of 25 Mbps download and 3 Mbps upload. Priority must be given to unserved areas with no current Internet Service Provider, Difficult Development Areas as identified by US Housing and Urban Development, and census blocks that have a high concentration of unserved public K</w:t>
      </w:r>
      <w:r w:rsidRPr="004117E8">
        <w:rPr>
          <w:u w:color="000000" w:themeColor="text1"/>
        </w:rPr>
        <w:noBreakHyphen/>
        <w:t>12 student households as documented by the South Carolina Department of Education.</w:t>
      </w:r>
    </w:p>
    <w:p w:rsidR="001D3F7A" w:rsidRPr="004117E8" w:rsidRDefault="001D3F7A" w:rsidP="001D3F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lastRenderedPageBreak/>
        <w:t>SECTION</w:t>
      </w:r>
      <w:r w:rsidRPr="004117E8">
        <w:rPr>
          <w:u w:color="000000" w:themeColor="text1"/>
        </w:rPr>
        <w:tab/>
        <w:t>10.</w:t>
      </w:r>
      <w:r w:rsidRPr="004117E8">
        <w:rPr>
          <w:u w:color="000000" w:themeColor="text1"/>
        </w:rPr>
        <w:tab/>
        <w:t>(A)</w:t>
      </w:r>
      <w:r w:rsidRPr="004117E8">
        <w:rPr>
          <w:u w:color="000000" w:themeColor="text1"/>
        </w:rPr>
        <w:tab/>
        <w:t>The Office of Broadband Coordinator, an office within the Office of Regulatory Staff, is authorized to expend funds from the ARPA Broadband Account to:</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(1)</w:t>
      </w:r>
      <w:r w:rsidRPr="004117E8">
        <w:rPr>
          <w:u w:color="000000" w:themeColor="text1"/>
        </w:rPr>
        <w:tab/>
        <w:t>administer a grant program to expand broadband infrastructure to households, businesses, and communities in the State that are unserved or underserved by broadband services;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(2)</w:t>
      </w:r>
      <w:r w:rsidRPr="004117E8">
        <w:rPr>
          <w:u w:color="000000" w:themeColor="text1"/>
        </w:rPr>
        <w:tab/>
        <w:t>provide technical assistance and coordination;</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(3)</w:t>
      </w:r>
      <w:r w:rsidRPr="004117E8">
        <w:rPr>
          <w:u w:color="000000" w:themeColor="text1"/>
        </w:rPr>
        <w:tab/>
        <w:t>host and participate in stakeholder discussions and advisory groups;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(4)</w:t>
      </w:r>
      <w:r w:rsidRPr="004117E8">
        <w:rPr>
          <w:u w:color="000000" w:themeColor="text1"/>
        </w:rPr>
        <w:tab/>
        <w:t>support continued mapping efforts including, but not limited to, costs associated with storage, security, and data collection;</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(5)</w:t>
      </w:r>
      <w:r w:rsidRPr="004117E8">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(6)</w:t>
      </w:r>
      <w:r w:rsidRPr="004117E8">
        <w:rPr>
          <w:u w:color="000000" w:themeColor="text1"/>
        </w:rPr>
        <w:tab/>
        <w:t>expend funds for alternative and enabling technologies including, but not limited to, wireless broadband service, low earth orbit satellite, middle</w:t>
      </w:r>
      <w:r w:rsidRPr="004117E8">
        <w:rPr>
          <w:u w:color="000000" w:themeColor="text1"/>
        </w:rPr>
        <w:noBreakHyphen/>
        <w:t>mile fiber, enhanced cellular service, and carrier neutral broadband infrastructure;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(7)</w:t>
      </w:r>
      <w:r w:rsidRPr="004117E8">
        <w:rPr>
          <w:u w:color="000000" w:themeColor="text1"/>
        </w:rPr>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(B)</w:t>
      </w:r>
      <w:r w:rsidRPr="004117E8">
        <w:rPr>
          <w:u w:color="000000" w:themeColor="text1"/>
        </w:rPr>
        <w:tab/>
        <w:t>The grant program may include an opportunity to reimburse a portion of construction costs, incurred on or after March 15, 2021, related to the expansion of broadband during the pandemic.</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(C)</w:t>
      </w:r>
      <w:r w:rsidRPr="004117E8">
        <w:rPr>
          <w:u w:color="000000" w:themeColor="text1"/>
        </w:rPr>
        <w:tab/>
        <w:t>All expenditures, reimbursements, and grants awarded by the Office of Broadband Coordinator must be in compliance with ARPA and the methods and guidance issued by the United States Department of Treasury for the allocation and oversight of ARPA funding.</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11.</w:t>
      </w:r>
      <w:r w:rsidRPr="004117E8">
        <w:tab/>
        <w:t>(A)</w:t>
      </w:r>
      <w:r w:rsidRPr="004117E8">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 The speed at which an applicant can complete the proposed project shall be considered among significant criteria for awarding grants.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lastRenderedPageBreak/>
        <w:tab/>
        <w:t>(B)</w:t>
      </w:r>
      <w:r w:rsidRPr="004117E8">
        <w:tab/>
        <w:t>Electric Cooperatives that own broadband facilities pursuant to the provisions of S.C. Code Sections 58-9-3000, et seq., the Broadband Accessibility Act of 2020 are eligible to receive grants from the ARPA Broadband Account.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(C)</w:t>
      </w:r>
      <w:r w:rsidRPr="004117E8">
        <w:tab/>
        <w:t>Grants may be disbursed to recipients in tranches.  The number and amount of funding in each tranche shall be determined by the Office of Broadband Coordinator.</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12.</w:t>
      </w:r>
      <w:r w:rsidRPr="004117E8">
        <w:tab/>
        <w:t>(A)</w:t>
      </w:r>
      <w:r w:rsidRPr="004117E8">
        <w:tab/>
        <w:t>Grant recipients and other entities receiving funds pursuant to SECTION 11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(B)</w:t>
      </w:r>
      <w:r w:rsidRPr="004117E8">
        <w:tab/>
        <w:t>The Office of Broadband Coordinator shall maintain as confidential all individual company-designated proprietary information. All such individual proprietary information is exempt from the provisions contained in S.C. Code Sections 30-4-10, et seq.</w:t>
      </w:r>
      <w:r w:rsidRPr="004117E8">
        <w:rPr>
          <w:i/>
        </w:rPr>
        <w:t xml:space="preserve">, </w:t>
      </w:r>
      <w:r w:rsidRPr="004117E8">
        <w:t>the South Carolina Freedom of Information Act.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tab/>
      </w:r>
      <w:r w:rsidRPr="004117E8">
        <w:rPr>
          <w:snapToGrid w:val="0"/>
        </w:rPr>
        <w:t>(C)</w:t>
      </w:r>
      <w:r w:rsidRPr="004117E8">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ab/>
        <w:t>(D)</w:t>
      </w:r>
      <w:r w:rsidRPr="004117E8">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4117E8">
        <w:t>S.C. Code Section</w:t>
      </w:r>
      <w:r w:rsidRPr="004117E8">
        <w:rPr>
          <w:snapToGrid w:val="0"/>
        </w:rPr>
        <w:t xml:space="preserve"> 11</w:t>
      </w:r>
      <w:r w:rsidRPr="004117E8">
        <w:rPr>
          <w:snapToGrid w:val="0"/>
        </w:rPr>
        <w:noBreakHyphen/>
        <w:t>35</w:t>
      </w:r>
      <w:r w:rsidRPr="004117E8">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w:t>
      </w:r>
      <w:r w:rsidRPr="004117E8">
        <w:rPr>
          <w:snapToGrid w:val="0"/>
        </w:rPr>
        <w:lastRenderedPageBreak/>
        <w:t xml:space="preserve">Authority shall assign such personnel as necessary to assist the Office of Regulatory Staff in carrying out its duties under this act. </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SECTION</w:t>
      </w:r>
      <w:r w:rsidRPr="004117E8">
        <w:rPr>
          <w:snapToGrid w:val="0"/>
        </w:rPr>
        <w:tab/>
        <w:t>13.</w:t>
      </w:r>
      <w:r w:rsidRPr="004117E8">
        <w:rPr>
          <w:snapToGrid w:val="0"/>
        </w:rPr>
        <w:tab/>
        <w:t>The Office of Broadband Coordinator is directed to take all necessary action to secure any broadband funding made available to this State pursuant to Section 604 of the Social Security Act, as added by Section 9901 of ARPA and to make appropriate grants from those funds in compliance with the provisions contained in Sections 9 through 12 of this act.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117E8">
        <w:rPr>
          <w:u w:color="000000" w:themeColor="text1"/>
        </w:rPr>
        <w:t>Office of Resilience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14.</w:t>
      </w:r>
      <w:r w:rsidRPr="004117E8">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(A)(5) of SECTION 1 of this act. The funds in the ARPA Resilience Account must be used to complete stormwater infrastructure projects and acquisitions of property in the floodplain throughout the State to lessen the impacts of future flood events. </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rPr>
          <w:u w:color="000000" w:themeColor="text1"/>
        </w:rPr>
        <w:tab/>
        <w:t>(B)</w:t>
      </w:r>
      <w:r w:rsidRPr="004117E8">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117E8">
        <w:rPr>
          <w:snapToGrid w:val="0"/>
        </w:rPr>
        <w:t>Department of Health and Environmental Control</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SECTION</w:t>
      </w:r>
      <w:r w:rsidRPr="004117E8">
        <w:rPr>
          <w:snapToGrid w:val="0"/>
        </w:rPr>
        <w:tab/>
        <w:t>15.</w:t>
      </w:r>
      <w:r w:rsidRPr="004117E8">
        <w:rPr>
          <w:snapToGrid w:val="0"/>
        </w:rPr>
        <w:tab/>
        <w:t>The</w:t>
      </w:r>
      <w:r w:rsidRPr="004117E8">
        <w:rPr>
          <w:u w:color="000000" w:themeColor="text1"/>
        </w:rPr>
        <w:t xml:space="preserve"> amount authorized for expenditure by the </w:t>
      </w:r>
      <w:r w:rsidRPr="004117E8">
        <w:rPr>
          <w:snapToGrid w:val="0"/>
        </w:rPr>
        <w:t>Department of Health and Environmental Control in SECTION (1)(A)(4) shall be utilized by the department for the construction of a public health laboratory. The department shall make quarterly reports to the Joint Bond Review Committee for review and comment.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117E8">
        <w:rPr>
          <w:snapToGrid w:val="0"/>
        </w:rPr>
        <w:t>Department of Administration</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SECTION</w:t>
      </w:r>
      <w:r w:rsidRPr="004117E8">
        <w:rPr>
          <w:snapToGrid w:val="0"/>
        </w:rPr>
        <w:tab/>
        <w:t>16.</w:t>
      </w:r>
      <w:r w:rsidRPr="004117E8">
        <w:rPr>
          <w:snapToGrid w:val="0"/>
        </w:rPr>
        <w:tab/>
        <w:t xml:space="preserve">The Department of Administration shall utilize up to the amount authorized in SECTION(1)(A)(6) for contracting for professional grant management services of ARPA funds and other federal COVID-19 relief funds. The department shall use the contract awarded pursuant to the procurement process established </w:t>
      </w:r>
      <w:r w:rsidRPr="004117E8">
        <w:rPr>
          <w:snapToGrid w:val="0"/>
        </w:rPr>
        <w:lastRenderedPageBreak/>
        <w:t xml:space="preserve">by Section 2(A) of Act 135 of 2020, for professional grant management services. </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Part III</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Miscellaneous Provisions</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17.</w:t>
      </w:r>
      <w:r w:rsidRPr="004117E8">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 through December 31, 2026.</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18.</w:t>
      </w:r>
      <w:r w:rsidRPr="004117E8">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19.</w:t>
      </w:r>
      <w:r w:rsidRPr="004117E8">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4117E8">
        <w:rPr>
          <w:bCs/>
          <w:u w:color="000000" w:themeColor="text1"/>
        </w:rPr>
        <w:t xml:space="preserve"> authorizing the disbursal and expenditure of federal funds received by the State pursuant to ARPA</w:t>
      </w:r>
      <w:r w:rsidRPr="004117E8">
        <w:rPr>
          <w:u w:color="000000" w:themeColor="text1"/>
        </w:rPr>
        <w:t xml:space="preserve"> as clearly enumerated in the title.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20.</w:t>
      </w:r>
      <w:r w:rsidRPr="004117E8">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5304" w:rsidRDefault="001D3F7A" w:rsidP="001D3F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4117E8">
        <w:rPr>
          <w:u w:color="000000" w:themeColor="text1"/>
        </w:rPr>
        <w:lastRenderedPageBreak/>
        <w:t>SECTION</w:t>
      </w:r>
      <w:r w:rsidRPr="004117E8">
        <w:rPr>
          <w:u w:color="000000" w:themeColor="text1"/>
        </w:rPr>
        <w:tab/>
        <w:t>21.</w:t>
      </w:r>
      <w:r w:rsidRPr="004117E8">
        <w:rPr>
          <w:u w:color="000000" w:themeColor="text1"/>
        </w:rPr>
        <w:tab/>
        <w:t>This joint resolution shall become law upon approval of the Governor.</w:t>
      </w:r>
    </w:p>
    <w:p w:rsidR="004B3A19" w:rsidRDefault="0010776B" w:rsidP="001D3F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EDE" w:rsidRDefault="00DC1EDE" w:rsidP="00DC1EDE">
      <w:pPr>
        <w:suppressAutoHyphens/>
      </w:pPr>
    </w:p>
    <w:sectPr w:rsidR="00DC1EDE"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B20374F-5A8E-45EB-BFB3-26CBAFF9FC58}"/>
    <w:embedBold r:id="rId2" w:fontKey="{4B86C14A-7D45-492A-A91F-B718E8FE9B2C}"/>
    <w:embedItalic r:id="rId3" w:fontKey="{9CB59F22-75A7-4108-9921-72224B2ACE9E}"/>
  </w:font>
  <w:font w:name="Calibri">
    <w:panose1 w:val="020F0502020204030204"/>
    <w:charset w:val="00"/>
    <w:family w:val="swiss"/>
    <w:pitch w:val="variable"/>
    <w:sig w:usb0="E0002AFF" w:usb1="4000ACFF" w:usb2="00000001" w:usb3="00000000" w:csb0="000001FF" w:csb1="00000000"/>
    <w:embedRegular r:id="rId4" w:fontKey="{CE21B111-F663-4E3D-A878-5B5D420F292E}"/>
  </w:font>
  <w:font w:name="Segoe UI">
    <w:panose1 w:val="020B0502040204020203"/>
    <w:charset w:val="00"/>
    <w:family w:val="swiss"/>
    <w:pitch w:val="variable"/>
    <w:sig w:usb0="E4002EFF" w:usb1="C000E47F" w:usb2="00000009" w:usb3="00000000" w:csb0="000001FF" w:csb1="00000000"/>
    <w:embedRegular r:id="rId5" w:fontKey="{A618097E-C036-49A9-8AAF-EB3FA77F7853}"/>
  </w:font>
  <w:font w:name="Cambria">
    <w:panose1 w:val="02040503050406030204"/>
    <w:charset w:val="00"/>
    <w:family w:val="roman"/>
    <w:pitch w:val="variable"/>
    <w:sig w:usb0="E00006FF" w:usb1="420024FF" w:usb2="02000000" w:usb3="00000000" w:csb0="0000019F" w:csb1="00000000"/>
    <w:embedRegular r:id="rId6" w:fontKey="{5C0B564B-5162-4E89-8BA2-D4DDFAE278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DC1EDE">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DC1E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27A2B"/>
    <w:rsid w:val="000A2E6C"/>
    <w:rsid w:val="000E0100"/>
    <w:rsid w:val="000E1785"/>
    <w:rsid w:val="000F2D53"/>
    <w:rsid w:val="000F40FA"/>
    <w:rsid w:val="001035F1"/>
    <w:rsid w:val="0010776B"/>
    <w:rsid w:val="00133E66"/>
    <w:rsid w:val="00141D8C"/>
    <w:rsid w:val="001435A3"/>
    <w:rsid w:val="00146ED3"/>
    <w:rsid w:val="00151044"/>
    <w:rsid w:val="001D08F2"/>
    <w:rsid w:val="001D3A58"/>
    <w:rsid w:val="001D3F7A"/>
    <w:rsid w:val="001D525B"/>
    <w:rsid w:val="001D7F4F"/>
    <w:rsid w:val="001E449E"/>
    <w:rsid w:val="00205238"/>
    <w:rsid w:val="00225793"/>
    <w:rsid w:val="002321B6"/>
    <w:rsid w:val="00232912"/>
    <w:rsid w:val="00250967"/>
    <w:rsid w:val="002543C8"/>
    <w:rsid w:val="0025541D"/>
    <w:rsid w:val="00284AAE"/>
    <w:rsid w:val="002E46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87B1D"/>
    <w:rsid w:val="006913C9"/>
    <w:rsid w:val="0069470D"/>
    <w:rsid w:val="006D58AA"/>
    <w:rsid w:val="00734F00"/>
    <w:rsid w:val="00736959"/>
    <w:rsid w:val="00794FFD"/>
    <w:rsid w:val="007A70AE"/>
    <w:rsid w:val="008362E8"/>
    <w:rsid w:val="0085786E"/>
    <w:rsid w:val="008A1768"/>
    <w:rsid w:val="008A489F"/>
    <w:rsid w:val="008F0F33"/>
    <w:rsid w:val="008F4429"/>
    <w:rsid w:val="00917B64"/>
    <w:rsid w:val="0094021A"/>
    <w:rsid w:val="00962C32"/>
    <w:rsid w:val="009B44AF"/>
    <w:rsid w:val="009B6778"/>
    <w:rsid w:val="009C6A0B"/>
    <w:rsid w:val="009D2A6E"/>
    <w:rsid w:val="009F0C77"/>
    <w:rsid w:val="009F4DD1"/>
    <w:rsid w:val="00A02543"/>
    <w:rsid w:val="00A41684"/>
    <w:rsid w:val="00A422F5"/>
    <w:rsid w:val="00A64E80"/>
    <w:rsid w:val="00A72BCD"/>
    <w:rsid w:val="00A741D9"/>
    <w:rsid w:val="00A833AB"/>
    <w:rsid w:val="00A9741D"/>
    <w:rsid w:val="00AC34A2"/>
    <w:rsid w:val="00AD1C9A"/>
    <w:rsid w:val="00AD4B17"/>
    <w:rsid w:val="00B412D4"/>
    <w:rsid w:val="00B53C6F"/>
    <w:rsid w:val="00B64FFF"/>
    <w:rsid w:val="00B84874"/>
    <w:rsid w:val="00B91266"/>
    <w:rsid w:val="00BE3C22"/>
    <w:rsid w:val="00C0345E"/>
    <w:rsid w:val="00C21ABE"/>
    <w:rsid w:val="00C31C95"/>
    <w:rsid w:val="00C3483A"/>
    <w:rsid w:val="00C4760F"/>
    <w:rsid w:val="00C572FC"/>
    <w:rsid w:val="00C74E9D"/>
    <w:rsid w:val="00C826DD"/>
    <w:rsid w:val="00C82FD3"/>
    <w:rsid w:val="00C92819"/>
    <w:rsid w:val="00CC6B7B"/>
    <w:rsid w:val="00CD2089"/>
    <w:rsid w:val="00D21C90"/>
    <w:rsid w:val="00D70D8E"/>
    <w:rsid w:val="00D73A67"/>
    <w:rsid w:val="00D970A9"/>
    <w:rsid w:val="00DC1EDE"/>
    <w:rsid w:val="00DF3845"/>
    <w:rsid w:val="00E319A0"/>
    <w:rsid w:val="00E41911"/>
    <w:rsid w:val="00E44B57"/>
    <w:rsid w:val="00E45304"/>
    <w:rsid w:val="00E92EEF"/>
    <w:rsid w:val="00EF2368"/>
    <w:rsid w:val="00F03EA1"/>
    <w:rsid w:val="00F24442"/>
    <w:rsid w:val="00F30881"/>
    <w:rsid w:val="00F50AE3"/>
    <w:rsid w:val="00F655B7"/>
    <w:rsid w:val="00F656BA"/>
    <w:rsid w:val="00F67CF1"/>
    <w:rsid w:val="00F728AA"/>
    <w:rsid w:val="00F840F0"/>
    <w:rsid w:val="00FB0D0D"/>
    <w:rsid w:val="00FB43B4"/>
    <w:rsid w:val="00FB6B0B"/>
    <w:rsid w:val="00FC43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A4FBC-E3D2-4D47-8D10-F08068F3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3341</Words>
  <Characters>18704</Characters>
  <Application>Microsoft Office Word</Application>
  <DocSecurity>0</DocSecurity>
  <Lines>437</Lines>
  <Paragraphs>99</Paragraphs>
  <ScaleCrop>false</ScaleCrop>
  <HeadingPairs>
    <vt:vector size="2" baseType="variant">
      <vt:variant>
        <vt:lpstr>Title</vt:lpstr>
      </vt:variant>
      <vt:variant>
        <vt:i4>1</vt:i4>
      </vt:variant>
    </vt:vector>
  </HeadingPairs>
  <TitlesOfParts>
    <vt:vector size="1" baseType="lpstr">
      <vt:lpstr>2021-2022 Bill 4408: Subject not yet available - South Carolina Legislature Online</vt:lpstr>
    </vt:vector>
  </TitlesOfParts>
  <Company>LPITS</Company>
  <LinksUpToDate>false</LinksUpToDate>
  <CharactersWithSpaces>22068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(May 4, 2022) - South Carolina Legislature Online</dc:title>
  <dc:creator>Niki Downey</dc:creator>
  <cp:lastModifiedBy>Danny Crook</cp:lastModifiedBy>
  <cp:revision>2</cp:revision>
  <cp:lastPrinted>2022-04-14T17:37:00Z</cp:lastPrinted>
  <dcterms:created xsi:type="dcterms:W3CDTF">2022-05-04T20:44:00Z</dcterms:created>
  <dcterms:modified xsi:type="dcterms:W3CDTF">2022-05-04T20:44:00Z</dcterms:modified>
</cp:coreProperties>
</file>