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right" w:pos="5933"/>
        </w:tabs>
        <w:suppressAutoHyphens/>
      </w:pPr>
      <w:r>
        <w:tab/>
      </w:r>
      <w:r>
        <w:rPr>
          <w:b/>
          <w:sz w:val="36"/>
        </w:rPr>
        <w:t>H. 4608</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and Fry</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2D2A00">
      <w:pPr>
        <w:tabs>
          <w:tab w:val="right" w:pos="5933"/>
        </w:tabs>
        <w:suppressAutoHyphens/>
      </w:pPr>
      <w:r>
        <w:t>S. Printed 3/31/22--H.</w:t>
      </w:r>
      <w:r w:rsidR="002D2A00">
        <w:tab/>
        <w:t>[SEC 4/1/22 3:39 PM]</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4608) </w:t>
      </w:r>
      <w:r w:rsidRPr="00C20C67">
        <w:rPr>
          <w:color w:val="000000" w:themeColor="text1"/>
          <w:u w:color="000000" w:themeColor="text1"/>
        </w:rPr>
        <w:t>to amend the Code of Laws of South Carolina, 1976, to enact the “Save Women’s Sports Act” by adding Section 59</w:t>
      </w:r>
      <w:r w:rsidRPr="00C20C67">
        <w:rPr>
          <w:color w:val="000000" w:themeColor="text1"/>
          <w:u w:color="000000" w:themeColor="text1"/>
        </w:rPr>
        <w:noBreakHyphen/>
        <w:t>1</w:t>
      </w:r>
      <w:r w:rsidRPr="00C20C67">
        <w:rPr>
          <w:color w:val="000000" w:themeColor="text1"/>
          <w:u w:color="000000" w:themeColor="text1"/>
        </w:rPr>
        <w:noBreakHyphen/>
        <w:t>500 so as to express</w:t>
      </w:r>
      <w:r>
        <w:t>, etc., respectfully</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Explanation of Fiscal Impact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7F57">
        <w:rPr>
          <w:b/>
        </w:rPr>
        <w:t>State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bill requires interscholastic, intercollegiate, intramural, or club athletic teams or sports that are sponsored by a public secondary school or public postsecondary school to be expressly designated based on biological sex.  The designations are males, men, or boys; females, women, or girls; or coed or mixed.  Athletic teams or sports designated for males, men, or boys may be open to students of the female sex.  Athletic teams or sports designated for females, women, or girls may not be open to students of the male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 student who is deprived of an athletic opportunity or suffers direct or indirect harm as a result of a violation of the provisions of </w:t>
      </w:r>
      <w:r w:rsidRPr="00E37F57">
        <w:lastRenderedPageBreak/>
        <w:t>the bill has a private cause of action for injunctive relief, damages, and other relief available under law against the school or public postsecondary institution.  Additionally, a student who is subject to retaliation or other adverse action by a school, public postsecondary institution, or athletic association or organization as a result of reporting a violation to an employee or representative of the school, institution, or athletic association or organization, or to a state or federal agency with oversight of schools or public postsecondary education has a private cause of action for injunctive relief, damages, and other relief available under law against the school, institution, or athletic association or organization.  A school or public postsecondary institution that suffers direct or indirect harm as a result of a violation of this bill has a private cause of action for injunctive relief, damages, and other relief available under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Department of Education.  </w:t>
      </w:r>
      <w:r w:rsidRPr="00E37F57">
        <w:t>SCDE previously indicated on similar legislation that while the bill does not alter the duties or responsibilities of the agency, it could experience some legal costs associated with the bill.  However, the agency indicated that any expenses associated with legal costs could be managed within current appropriations.  Therefore, the bill is not expected to have an expenditure impact on SCDE.  We will update this impact statement if the agency provides a different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Agency Schools.  </w:t>
      </w:r>
      <w:r w:rsidRPr="00E37F57">
        <w:t xml:space="preserve">The Governor’s School for the Arts and Humanities, the Governor’s School for Science and Mathematics, the Governor’s School for Agriculture at John de La Howe, the Wil Lou Gray Opportunity School, and the School for the Deaf and Blind indicate that this bill will have no expenditure impact since any expenses can be managed within existing appropriations.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Commission on Higher Education.</w:t>
      </w:r>
      <w:r w:rsidRPr="00E37F57">
        <w:t xml:space="preserve">  CHE reports that any expenses resulting from the provisions of this bill can be managed within existing appropriations.  Therefore the bill will have no expenditure impact.  </w:t>
      </w:r>
      <w:r w:rsidRPr="00E37F57">
        <w:rPr>
          <w:i/>
        </w:rPr>
        <w:t>This section of the fiscal impact statement has been updated to include a response from CHE.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Colleges and Universities.  </w:t>
      </w:r>
      <w:r w:rsidRPr="00E37F57">
        <w:rPr>
          <w:bCs/>
        </w:rPr>
        <w:t xml:space="preserve">SC Revenue and Fiscal Affairs (RFA) surveyed all state colleges and universities, and received responses from seven universities.  Six indicate that this bill will have no </w:t>
      </w:r>
      <w:r w:rsidRPr="00E37F57">
        <w:rPr>
          <w:bCs/>
        </w:rPr>
        <w:lastRenderedPageBreak/>
        <w:t xml:space="preserve">expenditure impact.  Lander University reports </w:t>
      </w:r>
      <w:r w:rsidRPr="00E37F57">
        <w:t xml:space="preserve">that an additional part-time employee to assist with NCAA compliance would be necessary as a result of this bill and would increase </w:t>
      </w:r>
      <w:r>
        <w:t>g</w:t>
      </w:r>
      <w:r w:rsidRPr="00E37F57">
        <w:t xml:space="preserve">eneral </w:t>
      </w:r>
      <w:r>
        <w:t>f</w:t>
      </w:r>
      <w:r w:rsidRPr="00E37F57">
        <w:t>und expenditures for the university by approximately $26,000 beginning in FY 2022-23.</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E37F57">
        <w:t xml:space="preserve">Additionally, two colleges and universities indicate that this bill could be in violation of NCAA guidance and regulation.  The expenditure impact resulting from any litigation costs resulting from violations is undetermined.  </w:t>
      </w:r>
      <w:r w:rsidRPr="00E37F57">
        <w:rPr>
          <w:i/>
        </w:rPr>
        <w:t>This section of the fiscal impact statement has been updated to include responses from state colleges and universities.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Judicial.  </w:t>
      </w:r>
      <w:r w:rsidRPr="00E37F57">
        <w:t xml:space="preserve">Judicial indicates that this bill may increase the number of cases in Common Pleas and Summary Courts.  Since the bill creates a new cause of action, there is no data with which to estimate the number of filings.  However, Judicial intends to use existing </w:t>
      </w:r>
      <w:r>
        <w:t>general f</w:t>
      </w:r>
      <w:r w:rsidRPr="00E37F57">
        <w:t>und appropriations to manage any modifications in caseloads.  Therefore, this bill will have no expenditure impact on Judicial.</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State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portion of the bill may result in an increase in the fines and fees collected in court.  Court fines and fees are distributed to the </w:t>
      </w:r>
      <w:r>
        <w:t>g</w:t>
      </w:r>
      <w:r w:rsidRPr="00E37F57">
        <w:t xml:space="preserve">eneral </w:t>
      </w:r>
      <w:r>
        <w:t>f</w:t>
      </w:r>
      <w:r w:rsidRPr="00E37F57">
        <w:t xml:space="preserve">und, </w:t>
      </w:r>
      <w:r>
        <w:t>o</w:t>
      </w:r>
      <w:r w:rsidRPr="00E37F57">
        <w:t xml:space="preserve">ther </w:t>
      </w:r>
      <w:r>
        <w:t>f</w:t>
      </w:r>
      <w:r w:rsidRPr="00E37F57">
        <w:t xml:space="preserve">unds, and local funds.  Therefore, the Revenue and Fiscal Affairs Office (RFA) anticipates this bill may result in an undetermined increase in </w:t>
      </w:r>
      <w:r>
        <w:t>g</w:t>
      </w:r>
      <w:r w:rsidRPr="00E37F57">
        <w:t xml:space="preserve">eneral </w:t>
      </w:r>
      <w:r>
        <w:t>f</w:t>
      </w:r>
      <w:r w:rsidRPr="00E37F57">
        <w:t xml:space="preserve">und revenue and </w:t>
      </w:r>
      <w:r>
        <w:t>o</w:t>
      </w:r>
      <w:r w:rsidRPr="00E37F57">
        <w:t xml:space="preserve">ther </w:t>
      </w:r>
      <w:r>
        <w:t>f</w:t>
      </w:r>
      <w:r w:rsidRPr="00E37F57">
        <w:t>unds revenue due to the potential increase in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E37F57">
        <w:t xml:space="preserve">Additionally, two colleges and universities indicate that because this bill violates NCAA guidance and regulation, the NCAA could levy sanctions or bans against the institution, which could reduce athletic revenue to the school.  However, any sanctions or bans from the NCAA as a result of this bill is currently unknown.  Therefore, the revenue impact on state colleges and universities is undetermined.  </w:t>
      </w:r>
      <w:r w:rsidRPr="00E37F57">
        <w:rPr>
          <w:i/>
        </w:rPr>
        <w:t xml:space="preserve">This section of the fiscal impact statement has been updated to include responses from the state colleges and universities.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this bill requires interscholastic, intercollegiate, intramural, or club athletic teams or sports that are sponsored by a </w:t>
      </w:r>
      <w:r w:rsidRPr="00E37F57">
        <w:lastRenderedPageBreak/>
        <w:t xml:space="preserve">public secondary school or public postsecondary school to be expressly designated based on biological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SCDE previously surveyed the regular school districts and received responses from thirty-five districts.  The responding districts indicated that the bill would have no expenditure impact since it does not alter the duties or responsibilities of the districts.  However, SCDE indicated that there could be some expenses associated with legal costs, but expected the expenses could be managed within the existing budgets of the districts.  Therefore, the bill is not expected to have an expenditure impact on local school districts.  We will update this impact statement if the districts provide different responses.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previously noted,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Court fines and fees are distributed to the </w:t>
      </w:r>
      <w:r>
        <w:t>g</w:t>
      </w:r>
      <w:r w:rsidRPr="00E37F57">
        <w:t xml:space="preserve">eneral </w:t>
      </w:r>
      <w:r>
        <w:t>f</w:t>
      </w:r>
      <w:r w:rsidRPr="00E37F57">
        <w:t xml:space="preserve">und, </w:t>
      </w:r>
      <w:r>
        <w:t>o</w:t>
      </w:r>
      <w:r w:rsidRPr="00E37F57">
        <w:t xml:space="preserve">ther </w:t>
      </w:r>
      <w:r>
        <w:t>f</w:t>
      </w:r>
      <w:r w:rsidRPr="00E37F57">
        <w:t>unds, and local funds.  Therefore, RFA anticipates this bill may result in an undetermined increase in local revenue due to the additional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Introduced on January 11, 2022</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7F57">
        <w:rPr>
          <w:b/>
        </w:rPr>
        <w:t>State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bill requires interscholastic, intercollegiate, intramural, or club athletic teams or sports that are sponsored by a public secondary school or public postsecondary school to be expressly designated based on biological sex.  The designations are males, men, or boys; females, women, or girls; or coed or mixed.  Athletic teams or sports designated for males, men, or boys may be open to students of the female sex.  Athletic teams or sports designated for females, women, or girls may not be open to students of the male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 student who is deprived of an athletic opportunity or suffers direct or indirect harm as a result of a violation of the provisions of the bill has a private cause of action for injunctive relief, damages, and other relief available under law against the school or public postsecondary institution.  Additionally, a student who is subject to retaliation or other adverse action by a school, public postsecondary institution, or athletic association or organization as a result of reporting a violation to an employee or representative of the school, institution, or athletic association or organization, or to a state or federal agency with oversight of schools or public postsecondary </w:t>
      </w:r>
      <w:r w:rsidRPr="00E37F57">
        <w:lastRenderedPageBreak/>
        <w:t>education has a private cause of action for injunctive relief, damages, and other relief available under law against the school, institution, or athletic association or organization.  A school or public postsecondary institution that suffers direct or indirect harm as a result of a violation of this bill has a private cause of action for injunctive relief, damages, and other relief available under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Department of Education.  </w:t>
      </w:r>
      <w:r w:rsidRPr="00E37F57">
        <w:t>SCDE previously indicated on similar legislation that while the bill does not alter the duties or responsibilities of the agency, it could experience some legal costs associated with the bill.  However, the agency indicated that any expenses associated with legal costs could be managed within current appropriations.  Therefore, the bill is not expected to have an expenditure impact on SCDE.  We will update this impact statement if the agency provides a different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Agency Schools.  </w:t>
      </w:r>
      <w:r w:rsidRPr="00E37F57">
        <w:t xml:space="preserve">The Governor’s School for the Arts and Humanities, the Governor’s School for Science and Mathematics, the Governor’s School for Agriculture at John de La Howe, the Wil Lou Gray Opportunity School, and the School for the Deaf and Blind indicate that this bill will have no expenditure impact since any expenses can be managed within existing appropriations.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Commission on Higher Education.</w:t>
      </w:r>
      <w:r w:rsidRPr="00E37F57">
        <w:t xml:space="preserve">  The expenditure impact of this bill on CHE is pending, contingent upon a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Colleges and Universities.  </w:t>
      </w:r>
      <w:r w:rsidRPr="00E37F57">
        <w:t>The expenditure impact of this bill on public postsecondary institutions is pending, contingent upon a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Judicial.  </w:t>
      </w:r>
      <w:r w:rsidRPr="00E37F57">
        <w:t xml:space="preserve">Judicial indicates that this bill may increase the number of cases in Common Pleas and Summary Courts.  Since the bill creates a new cause of action, there is no data with which to estimate the number of filings.  However, Judicial intends to use existing </w:t>
      </w:r>
      <w:r>
        <w:t>g</w:t>
      </w:r>
      <w:r w:rsidRPr="00E37F57">
        <w:t xml:space="preserve">eneral </w:t>
      </w:r>
      <w:r>
        <w:t>f</w:t>
      </w:r>
      <w:r w:rsidRPr="00E37F57">
        <w:t>und appropriations to manage any modifications in caseloads.  Therefore, this bill will have no expenditure impact on Judicial.</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State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a civil action brought pursuant to this bill must be initiated within two years after the harm occurred.  A person or organization that prevails on a claim pursuant to the provisions of </w:t>
      </w:r>
      <w:r w:rsidRPr="00E37F57">
        <w:lastRenderedPageBreak/>
        <w:t xml:space="preserve">this bill is entitled to monetary damages, reasonable attorney’s fees, and other relief considered appropriate by the court.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portion of the bill may result in an increase in the fines and fees collected in court.  Court fines and fees are distributed to the </w:t>
      </w:r>
      <w:r>
        <w:t>g</w:t>
      </w:r>
      <w:r w:rsidRPr="00E37F57">
        <w:t xml:space="preserve">eneral </w:t>
      </w:r>
      <w:r>
        <w:t>f</w:t>
      </w:r>
      <w:r w:rsidRPr="00E37F57">
        <w:t xml:space="preserve">und, </w:t>
      </w:r>
      <w:r>
        <w:t>o</w:t>
      </w:r>
      <w:r w:rsidRPr="00E37F57">
        <w:t xml:space="preserve">ther </w:t>
      </w:r>
      <w:r>
        <w:t>f</w:t>
      </w:r>
      <w:r w:rsidRPr="00E37F57">
        <w:t xml:space="preserve">unds, and local funds.  Therefore, the Revenue and Fiscal Affairs Office (RFA) anticipates this bill may result in an undetermined increase in </w:t>
      </w:r>
      <w:r>
        <w:t>g</w:t>
      </w:r>
      <w:r w:rsidRPr="00E37F57">
        <w:t xml:space="preserve">eneral </w:t>
      </w:r>
      <w:r>
        <w:t>f</w:t>
      </w:r>
      <w:r w:rsidRPr="00E37F57">
        <w:t xml:space="preserve">und revenue and </w:t>
      </w:r>
      <w:r>
        <w:t>o</w:t>
      </w:r>
      <w:r w:rsidRPr="00E37F57">
        <w:t xml:space="preserve">ther </w:t>
      </w:r>
      <w:r>
        <w:t>f</w:t>
      </w:r>
      <w:r w:rsidRPr="00E37F57">
        <w:t>unds revenue due to the potential increase in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this bill requires interscholastic, intercollegiate, intramural, or club athletic teams or sports that are sponsored by a public secondary school or public postsecondary school to be expressly designated based on biological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SCDE previously surveyed the regular school districts and received responses from thirty-five districts.  The responding districts indicated that the bill would have no expenditure impact since it does not alter the duties or responsibilities of the districts.  However, SCDE indicated that there could be some expenses associated with legal costs, but expected the expenses could be managed within the existing budgets of the districts.  Therefore, the bill is not expected to have an expenditure impact on local school districts.  We will update this impact statement if the districts provide different responses.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previously noted,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Court fines and fees are distributed to the </w:t>
      </w:r>
      <w:r>
        <w:t>g</w:t>
      </w:r>
      <w:r w:rsidRPr="00E37F57">
        <w:t xml:space="preserve">eneral </w:t>
      </w:r>
      <w:r>
        <w:t>f</w:t>
      </w:r>
      <w:r w:rsidRPr="00E37F57">
        <w:t xml:space="preserve">und, </w:t>
      </w:r>
      <w:r>
        <w:t>o</w:t>
      </w:r>
      <w:r w:rsidRPr="00E37F57">
        <w:t xml:space="preserve">ther </w:t>
      </w:r>
      <w:r>
        <w:t>f</w:t>
      </w:r>
      <w:r w:rsidRPr="00E37F57">
        <w:t>unds, and local funds.  Therefore, RFA anticipates this bill may result in an undetermined increase in local revenue due to the additional court fines and fees.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0C67" w:rsidRP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C67"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2A00">
        <w:rPr>
          <w:color w:val="000000" w:themeColor="text1"/>
          <w:u w:color="000000" w:themeColor="text1"/>
        </w:rPr>
        <w:t>“</w:t>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t>4.</w:t>
      </w:r>
      <w:r w:rsidRPr="007C4B8E">
        <w:rPr>
          <w:color w:val="000000" w:themeColor="text1"/>
          <w:u w:color="000000" w:themeColor="text1"/>
        </w:rPr>
        <w:tab/>
        <w:t>This act takes effect upon approval by the Governor.</w:t>
      </w:r>
    </w:p>
    <w:p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623" w:rsidRDefault="002A1623" w:rsidP="002A1623">
      <w:pPr>
        <w:suppressAutoHyphens/>
      </w:pPr>
    </w:p>
    <w:sectPr w:rsidR="002A1623"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13" w:rsidRDefault="00274413" w:rsidP="009F0C77">
      <w:r>
        <w:separator/>
      </w:r>
    </w:p>
  </w:endnote>
  <w:endnote w:type="continuationSeparator" w:id="0">
    <w:p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40D73F-2D5C-4EE4-8931-231B7159744F}"/>
    <w:embedBold r:id="rId2" w:fontKey="{16B286A3-ECB1-4121-90B5-E16FA81D9115}"/>
    <w:embedItalic r:id="rId3" w:fontKey="{EB532EBA-D7D1-4F9A-8241-B934484BAF1B}"/>
  </w:font>
  <w:font w:name="Calibri">
    <w:panose1 w:val="020F0502020204030204"/>
    <w:charset w:val="00"/>
    <w:family w:val="swiss"/>
    <w:pitch w:val="variable"/>
    <w:sig w:usb0="E4002EFF" w:usb1="C000247B" w:usb2="00000009" w:usb3="00000000" w:csb0="000001FF" w:csb1="00000000"/>
    <w:embedRegular r:id="rId4" w:fontKey="{4E52BB86-6683-4EF6-BFEF-9169A13544BC}"/>
  </w:font>
  <w:font w:name="Segoe UI">
    <w:panose1 w:val="020B0502040204020203"/>
    <w:charset w:val="00"/>
    <w:family w:val="swiss"/>
    <w:pitch w:val="variable"/>
    <w:sig w:usb0="E4002EFF" w:usb1="C000E47F" w:usb2="00000009" w:usb3="00000000" w:csb0="000001FF" w:csb1="00000000"/>
    <w:embedRegular r:id="rId5" w:fontKey="{B121BE8F-EFCF-45D2-9CF6-33B4F07BE13E}"/>
  </w:font>
  <w:font w:name="Cambria">
    <w:panose1 w:val="02040503050406030204"/>
    <w:charset w:val="00"/>
    <w:family w:val="roman"/>
    <w:pitch w:val="variable"/>
    <w:sig w:usb0="E00006FF" w:usb1="420024FF" w:usb2="02000000" w:usb3="00000000" w:csb0="0000019F" w:csb1="00000000"/>
    <w:embedRegular r:id="rId6" w:fontKey="{5660E8E6-E6C1-4C13-92A6-3D96D33877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2A1623">
      <w:rPr>
        <w:noProof/>
      </w:rPr>
      <w:t>6</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2A16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13" w:rsidRDefault="00274413" w:rsidP="009F0C77">
      <w:r>
        <w:separator/>
      </w:r>
    </w:p>
  </w:footnote>
  <w:footnote w:type="continuationSeparator" w:id="0">
    <w:p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205238"/>
    <w:rsid w:val="002321B6"/>
    <w:rsid w:val="00232912"/>
    <w:rsid w:val="00250967"/>
    <w:rsid w:val="002543C8"/>
    <w:rsid w:val="0025541D"/>
    <w:rsid w:val="00274413"/>
    <w:rsid w:val="00284AAE"/>
    <w:rsid w:val="002A1623"/>
    <w:rsid w:val="002D2A00"/>
    <w:rsid w:val="002E5912"/>
    <w:rsid w:val="00301B21"/>
    <w:rsid w:val="00325348"/>
    <w:rsid w:val="0032732C"/>
    <w:rsid w:val="00336AD0"/>
    <w:rsid w:val="0034562F"/>
    <w:rsid w:val="003706A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D218E"/>
    <w:rsid w:val="006D58AA"/>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412D4"/>
    <w:rsid w:val="00B64FFF"/>
    <w:rsid w:val="00BE3C22"/>
    <w:rsid w:val="00C0345E"/>
    <w:rsid w:val="00C20C67"/>
    <w:rsid w:val="00C21ABE"/>
    <w:rsid w:val="00C31C95"/>
    <w:rsid w:val="00C3483A"/>
    <w:rsid w:val="00C74E9D"/>
    <w:rsid w:val="00C826DD"/>
    <w:rsid w:val="00C82FD3"/>
    <w:rsid w:val="00C92819"/>
    <w:rsid w:val="00CC6B7B"/>
    <w:rsid w:val="00CD2089"/>
    <w:rsid w:val="00D7288F"/>
    <w:rsid w:val="00D73A67"/>
    <w:rsid w:val="00D970A9"/>
    <w:rsid w:val="00DF3845"/>
    <w:rsid w:val="00E41911"/>
    <w:rsid w:val="00E44B57"/>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DF95"/>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F0F39-1C24-47D1-AD4F-ACFE71FE8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2971</Words>
  <Characters>16126</Characters>
  <Application>Microsoft Office Word</Application>
  <DocSecurity>0</DocSecurity>
  <Lines>365</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(Apr. 1, 2022) - South Carolina Legislature Online</dc:title>
  <dc:creator>Angie Morgan</dc:creator>
  <cp:lastModifiedBy>Danny Crook</cp:lastModifiedBy>
  <cp:revision>2</cp:revision>
  <cp:lastPrinted>2021-11-17T13:49:00Z</cp:lastPrinted>
  <dcterms:created xsi:type="dcterms:W3CDTF">2022-04-01T19:40:00Z</dcterms:created>
  <dcterms:modified xsi:type="dcterms:W3CDTF">2022-04-01T19:40:00Z</dcterms:modified>
</cp:coreProperties>
</file>