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4E5" w:rsidRPr="007F1542"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7F1542">
        <w:rPr>
          <w:rFonts w:eastAsia="Times New Roman"/>
          <w:strike/>
          <w:color w:val="000000" w:themeColor="text1"/>
        </w:rPr>
        <w:t>Indicates Matter Stricken</w:t>
      </w:r>
    </w:p>
    <w:p w:rsidR="006024E5" w:rsidRPr="007F1542"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7F1542">
        <w:rPr>
          <w:rFonts w:eastAsia="Times New Roman"/>
          <w:color w:val="000000" w:themeColor="text1"/>
          <w:u w:val="single"/>
        </w:rPr>
        <w:t>Indicates New Matter</w:t>
      </w:r>
    </w:p>
    <w:p w:rsidR="006024E5" w:rsidRPr="007F1542"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024E5" w:rsidRPr="007F1542" w:rsidRDefault="00ED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7F1542">
        <w:rPr>
          <w:rFonts w:eastAsia="Times New Roman"/>
          <w:color w:val="000000" w:themeColor="text1"/>
        </w:rPr>
        <w:t>AMENDED</w:t>
      </w:r>
    </w:p>
    <w:p w:rsidR="00ED0F81" w:rsidRPr="007F1542" w:rsidRDefault="00ED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7F1542">
        <w:rPr>
          <w:rFonts w:eastAsia="Times New Roman"/>
          <w:color w:val="000000" w:themeColor="text1"/>
        </w:rPr>
        <w:t>April 21, 2021</w:t>
      </w:r>
    </w:p>
    <w:p w:rsidR="00ED0F81" w:rsidRPr="007F1542" w:rsidRDefault="00ED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024E5" w:rsidRPr="007F1542" w:rsidRDefault="006024E5" w:rsidP="006024E5">
      <w:pPr>
        <w:tabs>
          <w:tab w:val="right" w:pos="5933"/>
        </w:tabs>
        <w:suppressAutoHyphens/>
        <w:jc w:val="both"/>
        <w:rPr>
          <w:rFonts w:eastAsia="Times New Roman"/>
          <w:color w:val="000000" w:themeColor="text1"/>
        </w:rPr>
      </w:pPr>
      <w:r w:rsidRPr="007F1542">
        <w:rPr>
          <w:rFonts w:eastAsia="Times New Roman"/>
          <w:color w:val="000000" w:themeColor="text1"/>
        </w:rPr>
        <w:tab/>
      </w:r>
      <w:r w:rsidRPr="007F1542">
        <w:rPr>
          <w:rFonts w:eastAsia="Times New Roman"/>
          <w:b/>
          <w:color w:val="000000" w:themeColor="text1"/>
          <w:sz w:val="36"/>
        </w:rPr>
        <w:t>S. 464</w:t>
      </w:r>
    </w:p>
    <w:p w:rsidR="006024E5" w:rsidRPr="007F1542"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024E5" w:rsidRPr="007F1542" w:rsidRDefault="006024E5" w:rsidP="00970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7F1542">
        <w:rPr>
          <w:rFonts w:eastAsia="Times New Roman"/>
          <w:color w:val="000000" w:themeColor="text1"/>
        </w:rPr>
        <w:t xml:space="preserve">Introduced by </w:t>
      </w:r>
      <w:r w:rsidR="009705EB" w:rsidRPr="007F1542">
        <w:rPr>
          <w:color w:val="000000" w:themeColor="text1"/>
        </w:rPr>
        <w:t xml:space="preserve">Senators Rankin, </w:t>
      </w:r>
      <w:r w:rsidRPr="007F1542">
        <w:rPr>
          <w:color w:val="000000" w:themeColor="text1"/>
        </w:rPr>
        <w:t>McElveen</w:t>
      </w:r>
      <w:r w:rsidR="009705EB" w:rsidRPr="007F1542">
        <w:rPr>
          <w:color w:val="000000" w:themeColor="text1"/>
        </w:rPr>
        <w:t xml:space="preserve">, Turner, Stephens, Alexander, Verdin, Goldfinch, Adams, Talley, Davis, Matthews, Gambrell, Garrett, K. Johnson, Hutto, Harpootlian, Williams, Young, Cromer, Gustafson, Campsen, Hembree and Shealy  </w:t>
      </w:r>
    </w:p>
    <w:p w:rsidR="006024E5" w:rsidRPr="007F1542"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024E5" w:rsidRPr="007F1542" w:rsidRDefault="00ED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7F1542">
        <w:rPr>
          <w:rFonts w:eastAsia="Times New Roman"/>
          <w:color w:val="000000" w:themeColor="text1"/>
        </w:rPr>
        <w:t>S. Printed 4/21</w:t>
      </w:r>
      <w:r w:rsidR="006024E5" w:rsidRPr="007F1542">
        <w:rPr>
          <w:rFonts w:eastAsia="Times New Roman"/>
          <w:color w:val="000000" w:themeColor="text1"/>
        </w:rPr>
        <w:t>/21--S.</w:t>
      </w:r>
    </w:p>
    <w:p w:rsidR="006024E5" w:rsidRPr="007F1542"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7F1542">
        <w:rPr>
          <w:rFonts w:eastAsia="Times New Roman"/>
          <w:color w:val="000000" w:themeColor="text1"/>
        </w:rPr>
        <w:t>Read the first time January 13, 2021.</w:t>
      </w:r>
    </w:p>
    <w:p w:rsidR="00BF4E7F" w:rsidRPr="007F1542" w:rsidRDefault="006024E5" w:rsidP="00ED0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sidRPr="007F1542">
        <w:rPr>
          <w:rFonts w:eastAsia="Times New Roman"/>
          <w:color w:val="000000" w:themeColor="text1"/>
          <w:u w:val="single"/>
        </w:rPr>
        <w:t>            </w:t>
      </w:r>
    </w:p>
    <w:p w:rsidR="00BF4E7F" w:rsidRPr="007F1542"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sectPr w:rsidR="00BF4E7F" w:rsidRPr="007F1542" w:rsidSect="006024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2EE0" w:rsidRPr="007F1542" w:rsidRDefault="00F42E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B66C95" w:rsidRPr="007F1542"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522CE0" w:rsidRPr="007F154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522CE0" w:rsidRPr="007F154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522CE0" w:rsidRPr="007F154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522CE0" w:rsidRPr="007F154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522CE0" w:rsidRPr="007F154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522CE0" w:rsidRPr="007F154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522CE0" w:rsidRPr="007F1542" w:rsidRDefault="00522CE0" w:rsidP="00F4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 w:val="30"/>
          <w:szCs w:val="30"/>
        </w:rPr>
      </w:pPr>
      <w:bookmarkStart w:id="0" w:name="billhead"/>
      <w:bookmarkStart w:id="1" w:name="_GoBack"/>
      <w:bookmarkEnd w:id="0"/>
      <w:r w:rsidRPr="007F1542">
        <w:rPr>
          <w:rFonts w:eastAsia="Times New Roman"/>
          <w:b/>
          <w:color w:val="000000" w:themeColor="text1"/>
          <w:sz w:val="30"/>
          <w:szCs w:val="30"/>
        </w:rPr>
        <w:t xml:space="preserve">A </w:t>
      </w:r>
      <w:bookmarkStart w:id="2" w:name="whattype"/>
      <w:bookmarkEnd w:id="2"/>
      <w:r w:rsidR="00FE1F8B" w:rsidRPr="007F1542">
        <w:rPr>
          <w:rFonts w:eastAsia="Times New Roman"/>
          <w:b/>
          <w:color w:val="000000" w:themeColor="text1"/>
          <w:sz w:val="30"/>
          <w:szCs w:val="30"/>
        </w:rPr>
        <w:t>BILL</w:t>
      </w:r>
    </w:p>
    <w:p w:rsidR="00522CE0" w:rsidRPr="007F154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522CE0" w:rsidRPr="007F1542" w:rsidRDefault="00D24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bookmarkStart w:id="3" w:name="titletop"/>
      <w:bookmarkEnd w:id="3"/>
      <w:r w:rsidRPr="007F1542">
        <w:rPr>
          <w:rFonts w:eastAsia="Times New Roman"/>
          <w:color w:val="000000" w:themeColor="text1"/>
        </w:rPr>
        <w:t>TO AMEND SECTION 58</w:t>
      </w:r>
      <w:r w:rsidRPr="007F1542">
        <w:rPr>
          <w:rFonts w:eastAsia="Times New Roman"/>
          <w:color w:val="000000" w:themeColor="text1"/>
        </w:rPr>
        <w:noBreakHyphen/>
        <w:t>31</w:t>
      </w:r>
      <w:r w:rsidRPr="007F1542">
        <w:rPr>
          <w:rFonts w:eastAsia="Times New Roman"/>
          <w:color w:val="000000" w:themeColor="text1"/>
        </w:rPr>
        <w:noBreakHyphen/>
        <w:t xml:space="preserve">20 OF THE 1976 SOUTH CAROLINA CODE OF LAWS TO PROVIDE A MEMBER OF THE BOARD OF DIRECTORS OF THE PUBLIC SERVICE AUTHORITY SHALL NOT BE APPOINTED FOR MORE THAN TWO UNEXPIRED CONSECUTIVE TERMS AND FOR EDUCATION AND EXPERIENCE REQUIREMENTS FOR A BOARD MEMBER; TO ADD SECTION </w:t>
      </w:r>
      <w:r w:rsidR="005C69AA" w:rsidRPr="007F1542">
        <w:rPr>
          <w:rFonts w:eastAsia="Times New Roman"/>
          <w:color w:val="000000" w:themeColor="text1"/>
        </w:rPr>
        <w:t>58</w:t>
      </w:r>
      <w:r w:rsidR="005C69AA" w:rsidRPr="007F1542">
        <w:rPr>
          <w:rFonts w:eastAsia="Times New Roman"/>
          <w:color w:val="000000" w:themeColor="text1"/>
        </w:rPr>
        <w:noBreakHyphen/>
        <w:t>31</w:t>
      </w:r>
      <w:r w:rsidR="005C69AA" w:rsidRPr="007F1542">
        <w:rPr>
          <w:rFonts w:eastAsia="Times New Roman"/>
          <w:color w:val="000000" w:themeColor="text1"/>
        </w:rPr>
        <w:noBreakHyphen/>
        <w:t>225</w:t>
      </w:r>
      <w:r w:rsidRPr="007F1542">
        <w:rPr>
          <w:rFonts w:eastAsia="Times New Roman"/>
          <w:color w:val="000000" w:themeColor="text1"/>
        </w:rPr>
        <w:t xml:space="preserve"> TO PROVIDE THAT THE OFFICE OF REGULATORY STAFF HAS AUTHORITY TO MAKE INSPECTIONS, AUDITS AND EXAMINATIONS OF THE PUBLIC SERVICE AUTHORITY FOR ELECTRIC AND WATER RATES; TO AMEND SECTION 58</w:t>
      </w:r>
      <w:r w:rsidRPr="007F1542">
        <w:rPr>
          <w:rFonts w:eastAsia="Times New Roman"/>
          <w:color w:val="000000" w:themeColor="text1"/>
        </w:rPr>
        <w:noBreakHyphen/>
        <w:t>31</w:t>
      </w:r>
      <w:r w:rsidRPr="007F1542">
        <w:rPr>
          <w:rFonts w:eastAsia="Times New Roman"/>
          <w:color w:val="000000" w:themeColor="text1"/>
        </w:rPr>
        <w:noBreakHyphen/>
        <w:t>380 TO ESTABLISH A PROCESS TO RECEIVE PUBLIC COMMENT AND A PUBLIC HEARING IN SETTING ELECTRIC RATES, AND FOR THE OFFICE OF REGULATORY STAFF TO REVIEW THE PROPOSED RATES AND COMMENT BEFORE THE RATES GO INTO EFFECT; TO AMEND SECTION 58</w:t>
      </w:r>
      <w:r w:rsidRPr="007F1542">
        <w:rPr>
          <w:rFonts w:eastAsia="Times New Roman"/>
          <w:color w:val="000000" w:themeColor="text1"/>
        </w:rPr>
        <w:noBreakHyphen/>
        <w:t>33</w:t>
      </w:r>
      <w:r w:rsidRPr="007F1542">
        <w:rPr>
          <w:rFonts w:eastAsia="Times New Roman"/>
          <w:color w:val="000000" w:themeColor="text1"/>
        </w:rPr>
        <w:noBreakHyphen/>
        <w:t>20 TO INCLUDE THE PUBLIC SERVICE AUTHORITY IN THE REQUIREMENTS FOR UTILITY FACILITY SITING; TO AMEND SECTION 58</w:t>
      </w:r>
      <w:r w:rsidRPr="007F1542">
        <w:rPr>
          <w:rFonts w:eastAsia="Times New Roman"/>
          <w:color w:val="000000" w:themeColor="text1"/>
        </w:rPr>
        <w:noBreakHyphen/>
        <w:t>37</w:t>
      </w:r>
      <w:r w:rsidRPr="007F1542">
        <w:rPr>
          <w:rFonts w:eastAsia="Times New Roman"/>
          <w:color w:val="000000" w:themeColor="text1"/>
        </w:rPr>
        <w:noBreakHyphen/>
        <w:t>40 TO DELETE SUBSECTION (A)(3); AND TO ADD SECTION 58</w:t>
      </w:r>
      <w:r w:rsidRPr="007F1542">
        <w:rPr>
          <w:rFonts w:eastAsia="Times New Roman"/>
          <w:color w:val="000000" w:themeColor="text1"/>
        </w:rPr>
        <w:noBreakHyphen/>
        <w:t>37</w:t>
      </w:r>
      <w:r w:rsidRPr="007F1542">
        <w:rPr>
          <w:rFonts w:eastAsia="Times New Roman"/>
          <w:color w:val="000000" w:themeColor="text1"/>
        </w:rPr>
        <w:noBreakHyphen/>
        <w:t>45 TO REQUIRE THE SOUTH CAROLINA PUBLIC SERVICE AUTHORITY TO SUBMIT AN INTEGRATED RESOURCE PLAN TO THE PUBLIC SERVICE COMMISSION AND TO PROVIDE FOR PLAN REQUIREMENTS.</w:t>
      </w:r>
      <w:bookmarkEnd w:id="1"/>
    </w:p>
    <w:p w:rsidR="00522CE0" w:rsidRPr="007F1542" w:rsidRDefault="00556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bookmarkStart w:id="4" w:name="titleend"/>
      <w:bookmarkEnd w:id="4"/>
      <w:r w:rsidRPr="007F1542">
        <w:rPr>
          <w:rFonts w:eastAsia="Times New Roman"/>
          <w:color w:val="000000" w:themeColor="text1"/>
        </w:rPr>
        <w:tab/>
        <w:t>Amend Title To Conform</w:t>
      </w:r>
    </w:p>
    <w:p w:rsidR="00556BE9" w:rsidRPr="007F1542" w:rsidRDefault="00556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D24700" w:rsidRPr="007F154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F1542">
        <w:rPr>
          <w:rFonts w:eastAsia="Times New Roman"/>
          <w:color w:val="000000" w:themeColor="text1"/>
          <w:u w:color="000000" w:themeColor="text1"/>
        </w:rPr>
        <w:t>Be it enacted by the General Assembly of the State of South Carolina:</w:t>
      </w:r>
    </w:p>
    <w:p w:rsidR="00D24700" w:rsidRPr="007F154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t>1.</w:t>
      </w:r>
      <w:r w:rsidRPr="007F1542">
        <w:rPr>
          <w:rFonts w:eastAsia="Times New Roman"/>
          <w:color w:val="000000" w:themeColor="text1"/>
          <w:szCs w:val="24"/>
          <w:u w:color="000000" w:themeColor="text1"/>
        </w:rPr>
        <w:tab/>
        <w:t>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20 of the 1976 Code of Laws is amended to read: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lastRenderedPageBreak/>
        <w:tab/>
        <w:t>“Section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20</w:t>
      </w:r>
      <w:r w:rsidRPr="007F1542">
        <w:rPr>
          <w:rFonts w:eastAsia="Times New Roman"/>
          <w:color w:val="000000" w:themeColor="text1"/>
          <w:szCs w:val="24"/>
          <w:u w:color="000000" w:themeColor="text1"/>
        </w:rPr>
        <w:tab/>
        <w:t>(A)</w:t>
      </w:r>
      <w:r w:rsidRPr="007F1542">
        <w:rPr>
          <w:rFonts w:eastAsia="Times New Roman"/>
          <w:color w:val="000000" w:themeColor="text1"/>
          <w:szCs w:val="24"/>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7F1542">
        <w:rPr>
          <w:rFonts w:eastAsia="Times New Roman"/>
          <w:color w:val="000000" w:themeColor="text1"/>
          <w:szCs w:val="24"/>
          <w:u w:color="000000" w:themeColor="text1"/>
        </w:rPr>
        <w:noBreakHyphen/>
        <w:t>3</w:t>
      </w:r>
      <w:r w:rsidRPr="007F1542">
        <w:rPr>
          <w:rFonts w:eastAsia="Times New Roman"/>
          <w:color w:val="000000" w:themeColor="text1"/>
          <w:szCs w:val="24"/>
          <w:u w:color="000000" w:themeColor="text1"/>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w:t>
      </w:r>
      <w:r w:rsidRPr="007F1542">
        <w:rPr>
          <w:rFonts w:eastAsia="Times New Roman"/>
          <w:color w:val="000000" w:themeColor="text1"/>
          <w:szCs w:val="24"/>
          <w:u w:val="single" w:color="000000" w:themeColor="text1"/>
        </w:rPr>
        <w:t>Except to the extent they are serving in an ex</w:t>
      </w:r>
      <w:r w:rsidRPr="007F1542">
        <w:rPr>
          <w:rFonts w:eastAsia="Times New Roman"/>
          <w:color w:val="000000" w:themeColor="text1"/>
          <w:szCs w:val="24"/>
          <w:u w:val="single" w:color="000000" w:themeColor="text1"/>
        </w:rPr>
        <w:noBreakHyphen/>
        <w:t>officio capacity, a</w:t>
      </w:r>
      <w:r w:rsidRPr="007F1542">
        <w:rPr>
          <w:rFonts w:eastAsia="Times New Roman"/>
          <w:color w:val="000000" w:themeColor="text1"/>
          <w:szCs w:val="24"/>
          <w:u w:color="000000" w:themeColor="text1"/>
        </w:rPr>
        <w:t xml:space="preserve"> </w:t>
      </w:r>
      <w:r w:rsidRPr="007F1542">
        <w:rPr>
          <w:rFonts w:eastAsia="Times New Roman"/>
          <w:strike/>
          <w:color w:val="000000" w:themeColor="text1"/>
          <w:szCs w:val="24"/>
          <w:u w:color="000000" w:themeColor="text1"/>
        </w:rPr>
        <w:t xml:space="preserve">A </w:t>
      </w:r>
      <w:r w:rsidRPr="007F1542">
        <w:rPr>
          <w:rFonts w:eastAsia="Times New Roman"/>
          <w:color w:val="000000" w:themeColor="text1"/>
          <w:szCs w:val="24"/>
          <w:u w:color="000000" w:themeColor="text1"/>
        </w:rPr>
        <w:t xml:space="preserve">director shall not serve as an employee or board member of an electric cooperative during his term as a director. Each director shall serve for a term of </w:t>
      </w:r>
      <w:r w:rsidRPr="007F1542">
        <w:rPr>
          <w:rFonts w:eastAsia="Times New Roman"/>
          <w:strike/>
          <w:color w:val="000000" w:themeColor="text1"/>
          <w:szCs w:val="24"/>
          <w:u w:color="000000" w:themeColor="text1"/>
        </w:rPr>
        <w:t>seven</w:t>
      </w:r>
      <w:r w:rsidRPr="007F1542">
        <w:rPr>
          <w:rFonts w:eastAsia="Times New Roman"/>
          <w:color w:val="000000" w:themeColor="text1"/>
          <w:szCs w:val="24"/>
          <w:u w:color="000000" w:themeColor="text1"/>
        </w:rPr>
        <w:t xml:space="preserve"> </w:t>
      </w:r>
      <w:r w:rsidRPr="007F1542">
        <w:rPr>
          <w:rFonts w:eastAsia="Times New Roman"/>
          <w:color w:val="000000" w:themeColor="text1"/>
          <w:szCs w:val="24"/>
          <w:u w:val="single" w:color="000000" w:themeColor="text1"/>
        </w:rPr>
        <w:t xml:space="preserve">six </w:t>
      </w:r>
      <w:r w:rsidRPr="007F1542">
        <w:rPr>
          <w:rFonts w:eastAsia="Times New Roman"/>
          <w:color w:val="000000" w:themeColor="text1"/>
          <w:szCs w:val="24"/>
          <w:u w:color="000000" w:themeColor="text1"/>
        </w:rPr>
        <w:t xml:space="preserve">years, except as provided in this section. At the expiration of the term of each director and of each succeeding director, the Governor, with the advice and consent of the Senate, must appoint a successor, who shall hold office for a term of </w:t>
      </w:r>
      <w:r w:rsidRPr="007F1542">
        <w:rPr>
          <w:rFonts w:eastAsia="Times New Roman"/>
          <w:strike/>
          <w:color w:val="000000" w:themeColor="text1"/>
          <w:szCs w:val="24"/>
          <w:u w:color="000000" w:themeColor="text1"/>
        </w:rPr>
        <w:t>seven</w:t>
      </w:r>
      <w:r w:rsidRPr="007F1542">
        <w:rPr>
          <w:rFonts w:eastAsia="Times New Roman"/>
          <w:color w:val="000000" w:themeColor="text1"/>
          <w:szCs w:val="24"/>
          <w:u w:color="000000" w:themeColor="text1"/>
        </w:rPr>
        <w:t xml:space="preserve"> </w:t>
      </w:r>
      <w:r w:rsidRPr="007F1542">
        <w:rPr>
          <w:rFonts w:eastAsia="Times New Roman"/>
          <w:color w:val="000000" w:themeColor="text1"/>
          <w:szCs w:val="24"/>
          <w:u w:val="single" w:color="000000" w:themeColor="text1"/>
        </w:rPr>
        <w:t>six</w:t>
      </w:r>
      <w:r w:rsidRPr="007F1542">
        <w:rPr>
          <w:rFonts w:eastAsia="Times New Roman"/>
          <w:color w:val="000000" w:themeColor="text1"/>
          <w:szCs w:val="24"/>
          <w:u w:color="000000" w:themeColor="text1"/>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Pr="007F1542">
        <w:rPr>
          <w:rFonts w:eastAsia="Times New Roman"/>
          <w:color w:val="000000" w:themeColor="text1"/>
          <w:szCs w:val="24"/>
          <w:u w:color="000000" w:themeColor="text1"/>
        </w:rPr>
        <w:noBreakHyphen/>
        <w:t xml:space="preserve">director shall hold office for the unexpired term. </w:t>
      </w:r>
      <w:r w:rsidRPr="007F1542">
        <w:rPr>
          <w:rFonts w:eastAsia="Times New Roman"/>
          <w:color w:val="000000" w:themeColor="text1"/>
          <w:szCs w:val="24"/>
          <w:u w:val="single" w:color="000000" w:themeColor="text1"/>
        </w:rPr>
        <w:t>A director shall not be appointed for more than two consecutive full terms. An appointment to an unexpired partial term shall not be considered for purposes of determining term limits.</w:t>
      </w:r>
      <w:r w:rsidRPr="007F1542">
        <w:rPr>
          <w:rFonts w:eastAsia="Times New Roman"/>
          <w:color w:val="000000" w:themeColor="text1"/>
          <w:szCs w:val="24"/>
          <w:u w:color="000000" w:themeColor="text1"/>
        </w:rPr>
        <w:t xml:space="preserve">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7F1542">
        <w:rPr>
          <w:rFonts w:eastAsia="Times New Roman"/>
          <w:color w:val="000000" w:themeColor="text1"/>
          <w:szCs w:val="24"/>
          <w:u w:val="single" w:color="000000" w:themeColor="text1"/>
        </w:rPr>
        <w:t>The authority may provide, at its expense, health insurance benefits to members of the board, through the State insurance plan or otherwise.</w:t>
      </w:r>
      <w:r w:rsidRPr="007F1542">
        <w:rPr>
          <w:rFonts w:eastAsia="Times New Roman"/>
          <w:color w:val="000000" w:themeColor="text1"/>
          <w:szCs w:val="24"/>
          <w:u w:color="000000" w:themeColor="text1"/>
        </w:rPr>
        <w:t xml:space="preserve"> Members of the board of directors may be removed for cause, pursuant to Section 1</w:t>
      </w:r>
      <w:r w:rsidRPr="007F1542">
        <w:rPr>
          <w:rFonts w:eastAsia="Times New Roman"/>
          <w:color w:val="000000" w:themeColor="text1"/>
          <w:szCs w:val="24"/>
          <w:u w:color="000000" w:themeColor="text1"/>
        </w:rPr>
        <w:noBreakHyphen/>
        <w:t>3</w:t>
      </w:r>
      <w:r w:rsidRPr="007F1542">
        <w:rPr>
          <w:rFonts w:eastAsia="Times New Roman"/>
          <w:color w:val="000000" w:themeColor="text1"/>
          <w:szCs w:val="24"/>
          <w:u w:color="000000" w:themeColor="text1"/>
        </w:rPr>
        <w:noBreakHyphen/>
        <w:t xml:space="preserve">240(C), by the Governor of the State, the advisory board, or a majority thereof. A </w:t>
      </w:r>
      <w:r w:rsidRPr="007F1542">
        <w:rPr>
          <w:rFonts w:eastAsia="Times New Roman"/>
          <w:color w:val="000000" w:themeColor="text1"/>
          <w:szCs w:val="24"/>
          <w:u w:color="000000" w:themeColor="text1"/>
        </w:rPr>
        <w:lastRenderedPageBreak/>
        <w:t xml:space="preserve">member of the General Assembly of the State of South Carolina is not eligible for appointment as Director of the Public Service Authority during the term of his office. No more than two members from the same county may serve as directors at any time.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(B)</w:t>
      </w:r>
      <w:r w:rsidRPr="007F1542">
        <w:rPr>
          <w:rFonts w:eastAsia="Times New Roman"/>
          <w:color w:val="000000" w:themeColor="text1"/>
          <w:szCs w:val="24"/>
          <w:u w:color="000000" w:themeColor="text1"/>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(C)</w:t>
      </w:r>
      <w:r w:rsidRPr="007F1542">
        <w:rPr>
          <w:rFonts w:eastAsia="Times New Roman"/>
          <w:color w:val="000000" w:themeColor="text1"/>
          <w:szCs w:val="24"/>
          <w:u w:val="single" w:color="000000" w:themeColor="text1"/>
        </w:rPr>
        <w:t>(1)</w:t>
      </w:r>
      <w:r w:rsidRPr="007F1542">
        <w:rPr>
          <w:rFonts w:eastAsia="Times New Roman"/>
          <w:color w:val="000000" w:themeColor="text1"/>
          <w:szCs w:val="24"/>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strike/>
          <w:color w:val="000000" w:themeColor="text1"/>
          <w:szCs w:val="24"/>
          <w:u w:color="000000" w:themeColor="text1"/>
        </w:rPr>
        <w:t>(1)</w:t>
      </w:r>
      <w:r w:rsidRPr="007F1542">
        <w:rPr>
          <w:rFonts w:eastAsia="Times New Roman"/>
          <w:color w:val="000000" w:themeColor="text1"/>
          <w:szCs w:val="24"/>
          <w:u w:val="single" w:color="000000" w:themeColor="text1"/>
        </w:rPr>
        <w:t>(a)</w:t>
      </w:r>
      <w:r w:rsidRPr="007F1542">
        <w:rPr>
          <w:rFonts w:eastAsia="Times New Roman"/>
          <w:color w:val="000000" w:themeColor="text1"/>
          <w:szCs w:val="24"/>
          <w:u w:color="000000" w:themeColor="text1"/>
        </w:rPr>
        <w:tab/>
        <w:t>general knowledge of the history, purpose, and operations of the Public Service Authority and the responsibilities of being a director of the authority;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strike/>
          <w:color w:val="000000" w:themeColor="text1"/>
          <w:szCs w:val="24"/>
          <w:u w:color="000000" w:themeColor="text1"/>
        </w:rPr>
        <w:t>(2)</w:t>
      </w:r>
      <w:r w:rsidRPr="007F1542">
        <w:rPr>
          <w:rFonts w:eastAsia="Times New Roman"/>
          <w:color w:val="000000" w:themeColor="text1"/>
          <w:szCs w:val="24"/>
          <w:u w:val="single" w:color="000000" w:themeColor="text1"/>
        </w:rPr>
        <w:t>(b)</w:t>
      </w:r>
      <w:r w:rsidRPr="007F1542">
        <w:rPr>
          <w:rFonts w:eastAsia="Times New Roman"/>
          <w:color w:val="000000" w:themeColor="text1"/>
          <w:szCs w:val="24"/>
          <w:u w:color="000000" w:themeColor="text1"/>
        </w:rPr>
        <w:tab/>
        <w:t>the ability to interpret legal and financial documents and information so as to further the activities and affairs of the Public Service Authority;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strike/>
          <w:color w:val="000000" w:themeColor="text1"/>
          <w:szCs w:val="24"/>
          <w:u w:color="000000" w:themeColor="text1"/>
        </w:rPr>
        <w:t>(3)</w:t>
      </w:r>
      <w:r w:rsidRPr="007F1542">
        <w:rPr>
          <w:rFonts w:eastAsia="Times New Roman"/>
          <w:color w:val="000000" w:themeColor="text1"/>
          <w:szCs w:val="24"/>
          <w:u w:val="single" w:color="000000" w:themeColor="text1"/>
        </w:rPr>
        <w:t>(c)</w:t>
      </w:r>
      <w:r w:rsidRPr="007F1542">
        <w:rPr>
          <w:rFonts w:eastAsia="Times New Roman"/>
          <w:color w:val="000000" w:themeColor="text1"/>
          <w:szCs w:val="24"/>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strike/>
          <w:color w:val="000000" w:themeColor="text1"/>
          <w:szCs w:val="24"/>
          <w:u w:color="000000" w:themeColor="text1"/>
        </w:rPr>
        <w:t>(4)</w:t>
      </w:r>
      <w:r w:rsidRPr="007F1542">
        <w:rPr>
          <w:rFonts w:eastAsia="Times New Roman"/>
          <w:color w:val="000000" w:themeColor="text1"/>
          <w:szCs w:val="24"/>
          <w:u w:val="single" w:color="000000" w:themeColor="text1"/>
        </w:rPr>
        <w:t>(d)</w:t>
      </w:r>
      <w:r w:rsidRPr="007F1542">
        <w:rPr>
          <w:rFonts w:eastAsia="Times New Roman"/>
          <w:color w:val="000000" w:themeColor="text1"/>
          <w:szCs w:val="24"/>
          <w:u w:color="000000" w:themeColor="text1"/>
        </w:rPr>
        <w:tab/>
        <w:t>with the assistance of counsel, the ability to understand and apply judicial decisions as they relate to the activities and affairs of the Public Service Authority.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(2)</w:t>
      </w:r>
      <w:r w:rsidRPr="007F1542">
        <w:rPr>
          <w:rFonts w:eastAsia="Times New Roman"/>
          <w:color w:val="000000" w:themeColor="text1"/>
          <w:szCs w:val="24"/>
          <w:u w:val="single" w:color="000000" w:themeColor="text1"/>
        </w:rPr>
        <w:tab/>
        <w:t>Each member must also have: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(a)</w:t>
      </w:r>
      <w:r w:rsidRPr="007F1542">
        <w:rPr>
          <w:rFonts w:eastAsia="Times New Roman"/>
          <w:color w:val="000000" w:themeColor="text1"/>
          <w:szCs w:val="24"/>
          <w:u w:val="single" w:color="000000" w:themeColor="text1"/>
        </w:rPr>
        <w:tab/>
        <w:t>a baccalaureate or more advanced degree from:</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(i)</w:t>
      </w:r>
      <w:r w:rsidRPr="007F1542">
        <w:rPr>
          <w:rFonts w:eastAsia="Times New Roman"/>
          <w:color w:val="000000" w:themeColor="text1"/>
          <w:szCs w:val="24"/>
          <w:u w:val="single" w:color="000000" w:themeColor="text1"/>
        </w:rPr>
        <w:tab/>
        <w:t>a recognized institution of higher learning requiring face</w:t>
      </w:r>
      <w:r w:rsidRPr="007F1542">
        <w:rPr>
          <w:rFonts w:eastAsia="Times New Roman"/>
          <w:color w:val="000000" w:themeColor="text1"/>
          <w:szCs w:val="24"/>
          <w:u w:val="single" w:color="000000" w:themeColor="text1"/>
        </w:rPr>
        <w:noBreakHyphen/>
        <w:t>to</w:t>
      </w:r>
      <w:r w:rsidRPr="007F1542">
        <w:rPr>
          <w:rFonts w:eastAsia="Times New Roman"/>
          <w:color w:val="000000" w:themeColor="text1"/>
          <w:szCs w:val="24"/>
          <w:u w:val="single" w:color="000000" w:themeColor="text1"/>
        </w:rPr>
        <w:noBreakHyphen/>
        <w:t>face contact between its students and instructors prior to completion of the academic program;</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(ii)</w:t>
      </w:r>
      <w:r w:rsidRPr="007F1542">
        <w:rPr>
          <w:rFonts w:eastAsia="Times New Roman"/>
          <w:color w:val="000000" w:themeColor="text1"/>
          <w:szCs w:val="24"/>
          <w:u w:val="single" w:color="000000" w:themeColor="text1"/>
        </w:rPr>
        <w:tab/>
        <w:t>an institution of higher learning that has been accredited by a regional or national accrediting body; or</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(iii)</w:t>
      </w:r>
      <w:r w:rsidRPr="007F1542">
        <w:rPr>
          <w:rFonts w:eastAsia="Times New Roman"/>
          <w:color w:val="000000" w:themeColor="text1"/>
          <w:szCs w:val="24"/>
          <w:u w:val="single" w:color="000000" w:themeColor="text1"/>
        </w:rPr>
        <w:tab/>
        <w:t>an institution of higher learning chartered before 1962;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(b)</w:t>
      </w:r>
      <w:r w:rsidRPr="007F1542">
        <w:rPr>
          <w:rFonts w:eastAsia="Times New Roman"/>
          <w:color w:val="000000" w:themeColor="text1"/>
          <w:szCs w:val="24"/>
          <w:u w:val="single" w:color="000000" w:themeColor="text1"/>
        </w:rPr>
        <w:tab/>
        <w:t>a background of substantial duration and an expertise in at least one of the following: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(i)</w:t>
      </w:r>
      <w:r w:rsidRPr="007F1542">
        <w:rPr>
          <w:rFonts w:eastAsia="Times New Roman"/>
          <w:color w:val="000000" w:themeColor="text1"/>
          <w:szCs w:val="24"/>
          <w:u w:val="single" w:color="000000" w:themeColor="text1"/>
        </w:rPr>
        <w:tab/>
        <w:t>energy issues;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lastRenderedPageBreak/>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(ii)</w:t>
      </w:r>
      <w:r w:rsidRPr="007F1542">
        <w:rPr>
          <w:rFonts w:eastAsia="Times New Roman"/>
          <w:color w:val="000000" w:themeColor="text1"/>
          <w:szCs w:val="24"/>
          <w:u w:val="single" w:color="000000" w:themeColor="text1"/>
        </w:rPr>
        <w:tab/>
        <w:t>consumer protection and advocacy issues;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(iii)</w:t>
      </w:r>
      <w:r w:rsidRPr="007F1542">
        <w:rPr>
          <w:rFonts w:eastAsia="Times New Roman"/>
          <w:color w:val="000000" w:themeColor="text1"/>
          <w:szCs w:val="24"/>
          <w:u w:val="single" w:color="000000" w:themeColor="text1"/>
        </w:rPr>
        <w:tab/>
        <w:t>water and wastewater issues;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(iv)</w:t>
      </w:r>
      <w:r w:rsidRPr="007F1542">
        <w:rPr>
          <w:rFonts w:eastAsia="Times New Roman"/>
          <w:color w:val="000000" w:themeColor="text1"/>
          <w:szCs w:val="24"/>
          <w:u w:val="single" w:color="000000" w:themeColor="text1"/>
        </w:rPr>
        <w:tab/>
        <w:t>finance, economics, and statistics;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(v)</w:t>
      </w:r>
      <w:r w:rsidRPr="007F1542">
        <w:rPr>
          <w:rFonts w:eastAsia="Times New Roman"/>
          <w:color w:val="000000" w:themeColor="text1"/>
          <w:szCs w:val="24"/>
          <w:u w:val="single" w:color="000000" w:themeColor="text1"/>
        </w:rPr>
        <w:tab/>
        <w:t>accounting;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(vi)</w:t>
      </w:r>
      <w:r w:rsidRPr="007F1542">
        <w:rPr>
          <w:rFonts w:eastAsia="Times New Roman"/>
          <w:color w:val="000000" w:themeColor="text1"/>
          <w:szCs w:val="24"/>
          <w:u w:val="single" w:color="000000" w:themeColor="text1"/>
        </w:rPr>
        <w:tab/>
        <w:t>engineering; or</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(vii)</w:t>
      </w:r>
      <w:r w:rsidRPr="007F1542">
        <w:rPr>
          <w:rFonts w:eastAsia="Times New Roman"/>
          <w:color w:val="000000" w:themeColor="text1"/>
          <w:szCs w:val="24"/>
          <w:u w:val="single" w:color="000000" w:themeColor="text1"/>
        </w:rPr>
        <w:tab/>
        <w:t>law.</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t>(D)</w:t>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lang w:val="en-PH"/>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7F1542">
        <w:rPr>
          <w:rFonts w:eastAsia="Times New Roman"/>
          <w:strike/>
          <w:color w:val="000000" w:themeColor="text1"/>
          <w:szCs w:val="24"/>
          <w:u w:color="000000" w:themeColor="text1"/>
          <w:lang w:val="en-PH"/>
        </w:rPr>
        <w:t>, resident in the State,</w:t>
      </w:r>
      <w:r w:rsidRPr="007F1542">
        <w:rPr>
          <w:rFonts w:eastAsia="Times New Roman"/>
          <w:color w:val="000000" w:themeColor="text1"/>
          <w:szCs w:val="24"/>
          <w:u w:color="000000" w:themeColor="text1"/>
          <w:lang w:val="en-PH"/>
        </w:rPr>
        <w:t xml:space="preserve"> for the purpose of making a complete audit of the affairs of the authority</w:t>
      </w:r>
      <w:r w:rsidRPr="007F1542">
        <w:rPr>
          <w:rFonts w:eastAsia="Times New Roman"/>
          <w:strike/>
          <w:color w:val="000000" w:themeColor="text1"/>
          <w:szCs w:val="24"/>
          <w:u w:color="000000" w:themeColor="text1"/>
          <w:lang w:val="en-PH"/>
        </w:rPr>
        <w:t>, which must be filed with the annual report of the board of directors. The Public Service Authority must submit the audit to the General Assembly</w:t>
      </w:r>
      <w:r w:rsidRPr="007F1542">
        <w:rPr>
          <w:rFonts w:eastAsia="Times New Roman"/>
          <w:color w:val="000000" w:themeColor="text1"/>
          <w:szCs w:val="24"/>
          <w:u w:color="000000" w:themeColor="text1"/>
          <w:lang w:val="en-PH"/>
        </w:rPr>
        <w:t xml:space="preserve">. </w:t>
      </w:r>
      <w:r w:rsidRPr="007F1542">
        <w:rPr>
          <w:rFonts w:eastAsia="Times New Roman"/>
          <w:color w:val="000000" w:themeColor="text1"/>
          <w:szCs w:val="24"/>
          <w:u w:val="single" w:color="000000" w:themeColor="text1"/>
        </w:rPr>
        <w:t>The board of directors must submit annual reports required by Section 58</w:t>
      </w:r>
      <w:r w:rsidRPr="007F1542">
        <w:rPr>
          <w:rFonts w:eastAsia="Times New Roman"/>
          <w:color w:val="000000" w:themeColor="text1"/>
          <w:szCs w:val="24"/>
          <w:u w:val="single" w:color="000000" w:themeColor="text1"/>
        </w:rPr>
        <w:noBreakHyphen/>
        <w:t>3</w:t>
      </w:r>
      <w:r w:rsidRPr="007F1542">
        <w:rPr>
          <w:rFonts w:eastAsia="Times New Roman"/>
          <w:color w:val="000000" w:themeColor="text1"/>
          <w:szCs w:val="24"/>
          <w:u w:val="single" w:color="000000" w:themeColor="text1"/>
        </w:rPr>
        <w:noBreakHyphen/>
        <w:t>530(17) to the advisory board.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(E)(1)</w:t>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The following shall be nonvoting ex officio members of the board of directors entitled to attend all meetings of the authority board, including any executive sessions, except as set forth below:</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color w:val="000000" w:themeColor="text1"/>
          <w:szCs w:val="24"/>
          <w:u w:val="single" w:color="000000" w:themeColor="text1"/>
        </w:rPr>
        <w:t>The Chairman of Central Electric Power Cooperative, or his designee, and one member of the Board of Central Electric Power Cooperative chosen by that board who is not the Chairman or his designee. 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 Authority shall not be liable for matters directly related to either the process of voting nor a decision determined by a vote of the board of directors.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lastRenderedPageBreak/>
        <w:tab/>
      </w:r>
      <w:r w:rsidR="00D167BF" w:rsidRPr="007F1542">
        <w:rPr>
          <w:color w:val="000000" w:themeColor="text1"/>
          <w:u w:val="single" w:color="000000" w:themeColor="text1"/>
        </w:rPr>
        <w:t>(2)</w:t>
      </w:r>
      <w:r w:rsidR="00D167BF" w:rsidRPr="007F1542">
        <w:rPr>
          <w:color w:val="000000" w:themeColor="text1"/>
          <w:u w:color="000000" w:themeColor="text1"/>
        </w:rPr>
        <w:tab/>
      </w:r>
      <w:r w:rsidR="00D167BF" w:rsidRPr="007F1542">
        <w:rPr>
          <w:color w:val="000000" w:themeColor="text1"/>
          <w:u w:val="single" w:color="000000" w:themeColor="text1"/>
        </w:rPr>
        <w:t>The ex officio members may be excluded from executive session where the following matters are being discussed: (1) negotiations incident to proposed contractual arrangements with a customer, including Central Electric Cooperative, Inc., or receiving legal advice involving a customer, Central Electric Power Cooperative Inc., or one of its members; and (2) discussions regarding generation resources that will not be shared resources under any wholesale power supply agreement between the authority and Central Electric Power Cooperative or receiving legal advice in relation thereto. Upon advice of counsel that a conflict may exist for an ex officio member of the board to attend an executive session or a portion thereof to discuss matters other than (1) and (2) above, the board may exclude, by a majority vote, the ex officio member from those portions of an executive session for which a conflict may exist. The reason for the conflict must be stated before the vote is taken and shall be recorded in official minutes or other records of the 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on the issue giving rise to the conflict. The decision of the board of directors to exclude an ex officio member due to a conflict is not appealable to any court. Efforts should be taken to optimize participation of ex officio members by segmenting executive sessions.</w:t>
      </w:r>
    </w:p>
    <w:p w:rsidR="00D167BF" w:rsidRPr="007F1542" w:rsidRDefault="00556BE9" w:rsidP="00157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F1542">
        <w:rPr>
          <w:rFonts w:eastAsia="Times New Roman"/>
          <w:color w:val="000000" w:themeColor="text1"/>
          <w:szCs w:val="24"/>
        </w:rPr>
        <w:tab/>
      </w:r>
      <w:r w:rsidR="00D167BF" w:rsidRPr="007F1542">
        <w:rPr>
          <w:color w:val="000000" w:themeColor="text1"/>
        </w:rPr>
        <w:t>(3)</w:t>
      </w:r>
      <w:r w:rsidR="00D167BF" w:rsidRPr="007F1542">
        <w:rPr>
          <w:color w:val="000000" w:themeColor="text1"/>
        </w:rPr>
        <w:tab/>
        <w:t>Ex officio members will begin serving immediately upon a letter indicating their appointments is delivered to the board and to the Public Utilities Review Committee but must meet the qualifications set forth in Section 58-31-20(C) as verified by the Public Utilities Review Committee within six months of beginning service as an ex officio member. Ex officio members will be appointed for two year terms but may be removed either by the Governor pursuant to Section 1-3-240(C)(1)(m) or the board of Central Electric Power Cooperative. In the event that the board of Central Electric Power Cooperative removes the ex officio member, the Public Service Authority board of directors must receive notice at least sixty days before the ex officio member’s successor begins service on the Public Service Authority board of directors. An ex officio member will not be entitled to receive compensation from the Public Service Authority for his or her service as an ex officio member and will not be counted for purposes of determining a quorum.</w:t>
      </w:r>
      <w:r w:rsidR="00D167BF" w:rsidRPr="007F1542">
        <w:rPr>
          <w:color w:val="000000" w:themeColor="text1"/>
        </w:rPr>
        <w:tab/>
      </w:r>
      <w:r w:rsidR="00D167BF" w:rsidRPr="007F1542">
        <w:rPr>
          <w:color w:val="000000" w:themeColor="text1"/>
        </w:rPr>
        <w:tab/>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rPr>
        <w:lastRenderedPageBreak/>
        <w:tab/>
      </w:r>
      <w:r w:rsidRPr="007F1542">
        <w:rPr>
          <w:rFonts w:eastAsia="Times New Roman"/>
          <w:color w:val="000000" w:themeColor="text1"/>
          <w:szCs w:val="24"/>
          <w:u w:val="single" w:color="000000" w:themeColor="text1"/>
        </w:rPr>
        <w:t>(F)</w:t>
      </w:r>
      <w:r w:rsidRPr="007F1542">
        <w:rPr>
          <w:rFonts w:eastAsia="Times New Roman"/>
          <w:color w:val="000000" w:themeColor="text1"/>
          <w:szCs w:val="24"/>
        </w:rPr>
        <w:tab/>
      </w:r>
      <w:r w:rsidRPr="007F1542">
        <w:rPr>
          <w:rFonts w:eastAsia="Times New Roman"/>
          <w:color w:val="000000" w:themeColor="text1"/>
          <w:szCs w:val="24"/>
          <w:u w:val="single" w:color="000000" w:themeColor="text1"/>
        </w:rPr>
        <w:t>In making appointments to the Board of Directors, the Governor, in making appointments and the Senate, in its advice and consent capacity, must give due consideration to race, gender, and other demographic factors to assure nondiscrimination, inclusion, and representation to the greatest extent possible of all segments of the population of this State.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67BF" w:rsidRPr="007F1542" w:rsidRDefault="00D167BF" w:rsidP="00D1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color w:val="000000" w:themeColor="text1"/>
          <w:szCs w:val="20"/>
        </w:rPr>
      </w:pPr>
      <w:r w:rsidRPr="007F1542">
        <w:rPr>
          <w:rFonts w:eastAsia="Times New Roman"/>
          <w:snapToGrid w:val="0"/>
          <w:color w:val="000000" w:themeColor="text1"/>
          <w:szCs w:val="20"/>
        </w:rPr>
        <w:t>SECTION</w:t>
      </w:r>
      <w:r w:rsidRPr="007F1542">
        <w:rPr>
          <w:rFonts w:eastAsia="Times New Roman"/>
          <w:snapToGrid w:val="0"/>
          <w:color w:val="000000" w:themeColor="text1"/>
          <w:szCs w:val="20"/>
        </w:rPr>
        <w:tab/>
        <w:t>2.</w:t>
      </w:r>
      <w:r w:rsidRPr="007F1542">
        <w:rPr>
          <w:rFonts w:eastAsia="Times New Roman"/>
          <w:snapToGrid w:val="0"/>
          <w:color w:val="000000" w:themeColor="text1"/>
          <w:szCs w:val="20"/>
        </w:rPr>
        <w:tab/>
        <w:t>Section 58-31-30(A)(21) of the 1976 Code is amended to read:</w:t>
      </w:r>
    </w:p>
    <w:p w:rsidR="00D167BF" w:rsidRPr="007F1542" w:rsidRDefault="00D167BF" w:rsidP="00D1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color w:val="000000" w:themeColor="text1"/>
          <w:szCs w:val="20"/>
        </w:rPr>
      </w:pPr>
    </w:p>
    <w:p w:rsidR="00D167BF" w:rsidRPr="007F1542" w:rsidRDefault="00D167BF" w:rsidP="00D1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542">
        <w:rPr>
          <w:rFonts w:eastAsia="Times New Roman"/>
          <w:snapToGrid w:val="0"/>
          <w:color w:val="000000" w:themeColor="text1"/>
          <w:szCs w:val="20"/>
        </w:rPr>
        <w:tab/>
        <w:t>“</w:t>
      </w:r>
      <w:r w:rsidRPr="007F1542">
        <w:rPr>
          <w:color w:val="000000" w:themeColor="text1"/>
          <w:lang w:val="en-PH"/>
        </w:rPr>
        <w:t>(21)</w:t>
      </w:r>
      <w:r w:rsidRPr="007F1542">
        <w:rPr>
          <w:color w:val="000000" w:themeColor="text1"/>
          <w:lang w:val="en-PH"/>
        </w:rPr>
        <w:tab/>
        <w:t>to investigate, study, and consider all undeveloped power sites</w:t>
      </w:r>
      <w:r w:rsidRPr="007F1542">
        <w:rPr>
          <w:color w:val="000000" w:themeColor="text1"/>
          <w:u w:val="single"/>
          <w:lang w:val="en-PH"/>
        </w:rPr>
        <w:t>,</w:t>
      </w:r>
      <w:r w:rsidRPr="007F1542">
        <w:rPr>
          <w:color w:val="000000" w:themeColor="text1"/>
          <w:lang w:val="en-PH"/>
        </w:rPr>
        <w:t xml:space="preserve"> </w:t>
      </w:r>
      <w:r w:rsidRPr="007F1542">
        <w:rPr>
          <w:strike/>
          <w:color w:val="000000" w:themeColor="text1"/>
          <w:lang w:val="en-PH"/>
        </w:rPr>
        <w:t>and</w:t>
      </w:r>
      <w:r w:rsidRPr="007F1542">
        <w:rPr>
          <w:color w:val="000000" w:themeColor="text1"/>
          <w:lang w:val="en-PH"/>
        </w:rPr>
        <w:t xml:space="preserve"> navigation projects</w:t>
      </w:r>
      <w:r w:rsidRPr="007F1542">
        <w:rPr>
          <w:color w:val="000000" w:themeColor="text1"/>
          <w:u w:val="single"/>
          <w:lang w:val="en-PH"/>
        </w:rPr>
        <w:t>, or other projects</w:t>
      </w:r>
      <w:r w:rsidRPr="007F1542">
        <w:rPr>
          <w:color w:val="000000" w:themeColor="text1"/>
          <w:lang w:val="en-PH"/>
        </w:rPr>
        <w:t xml:space="preserve"> in the State and to acquire or develop the same as need may arise in the same manner as herein provided. Provided, always, nevertheless, that said investigations, studies, and considerations of said South Carolina Public Service Authority herein created shall be limited to the Congaree River and its tributaries below the confluence of the Broad and Saluda Rivers and the Wateree tributary of the Santee River at and near a point at or near Camden, South Carolina. Provided, however, that the Public Service Authority shall have no power at any time or in any manner to pledge the credit and the taxing power of the State or any of its political subdivisions, nor shall any of its obligations or securities be deemed to be obligations of the State or of any of its political subdivisions; nor shall the State be legally, equitably, or morally liable for the payment of principal of and interest on such obligations or securities. The State of South Carolina does hereby pledge to and agree with any person, firm, or corporation, the government of the United States and any corporation or agency created, designated, or established by the United States, subscribing to or acquiring the notes, bonds, evidences of indebtedness, or other obligations to be issued by the Public Service Authority for the construction of any project, that the State will not alter or limit the rights hereby vested in the Public Service Authority until the said notes, bonds, evidences of indebtedness, or other obligations, together with the interest thereon, are fully met and discharged; provided, that nothing herein contained shall preclude such limitation or alteration if and when and after adequate provisions shall be made by law for the protection of those subscribing to or acquiring such notes, bonds, evidences of indebtedness, or other obligations of the Public Service Authority. The State of South Carolina or any political subdivision shall in no way be responsible for any debts or obligations contracted by or for the authority, and the board of directors of the authority, the </w:t>
      </w:r>
      <w:r w:rsidRPr="007F1542">
        <w:rPr>
          <w:color w:val="000000" w:themeColor="text1"/>
          <w:lang w:val="en-PH"/>
        </w:rPr>
        <w:lastRenderedPageBreak/>
        <w:t>advisory board, and the officers shall make no debt whatsoever for the payment of which the State or any political subdivision shall in any way be bound. It is intended that the project to be developed hereunder and any and all projects undertaken by the provisions of this chapter shall be financed as self</w:t>
      </w:r>
      <w:r w:rsidRPr="007F1542">
        <w:rPr>
          <w:color w:val="000000" w:themeColor="text1"/>
          <w:lang w:val="en-PH"/>
        </w:rPr>
        <w:noBreakHyphen/>
        <w:t>liquidating projects and that the credit and taxing powers of the State, or its political subdivisions, shall never be pledged to pay said debts and obligations;”</w:t>
      </w:r>
      <w:r w:rsidRPr="007F1542">
        <w:rPr>
          <w:color w:val="000000" w:themeColor="text1"/>
          <w:lang w:val="en-PH"/>
        </w:rPr>
        <w:tab/>
      </w:r>
    </w:p>
    <w:p w:rsidR="00D167BF" w:rsidRPr="007F1542"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0F81" w:rsidRPr="007F1542" w:rsidRDefault="00ED0F81" w:rsidP="00ED0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542">
        <w:rPr>
          <w:rFonts w:eastAsia="Times New Roman"/>
          <w:snapToGrid w:val="0"/>
          <w:color w:val="000000" w:themeColor="text1"/>
          <w:szCs w:val="20"/>
        </w:rPr>
        <w:t>SECTION</w:t>
      </w:r>
      <w:r w:rsidRPr="007F1542">
        <w:rPr>
          <w:rFonts w:eastAsia="Times New Roman"/>
          <w:snapToGrid w:val="0"/>
          <w:color w:val="000000" w:themeColor="text1"/>
          <w:szCs w:val="20"/>
        </w:rPr>
        <w:tab/>
        <w:t>3.</w:t>
      </w:r>
      <w:r w:rsidRPr="007F1542">
        <w:rPr>
          <w:rFonts w:eastAsia="Times New Roman"/>
          <w:snapToGrid w:val="0"/>
          <w:color w:val="000000" w:themeColor="text1"/>
          <w:szCs w:val="20"/>
        </w:rPr>
        <w:tab/>
        <w:t xml:space="preserve">Section </w:t>
      </w:r>
      <w:r w:rsidRPr="007F1542">
        <w:rPr>
          <w:color w:val="000000" w:themeColor="text1"/>
          <w:u w:color="000000" w:themeColor="text1"/>
        </w:rPr>
        <w:t>58</w:t>
      </w:r>
      <w:r w:rsidRPr="007F1542">
        <w:rPr>
          <w:color w:val="000000" w:themeColor="text1"/>
          <w:u w:color="000000" w:themeColor="text1"/>
        </w:rPr>
        <w:noBreakHyphen/>
        <w:t>31</w:t>
      </w:r>
      <w:r w:rsidRPr="007F1542">
        <w:rPr>
          <w:color w:val="000000" w:themeColor="text1"/>
          <w:u w:color="000000" w:themeColor="text1"/>
        </w:rPr>
        <w:noBreakHyphen/>
        <w:t>30 of the 1976 Code is amended by adding a new subsection (C) to read:</w:t>
      </w:r>
    </w:p>
    <w:p w:rsidR="00ED0F81" w:rsidRPr="007F1542" w:rsidRDefault="00ED0F81" w:rsidP="00ED0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0F81" w:rsidRPr="007F1542" w:rsidRDefault="00ED0F81" w:rsidP="00ED0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Calibri"/>
          <w:color w:val="000000" w:themeColor="text1"/>
          <w:u w:color="000000" w:themeColor="text1"/>
        </w:rPr>
        <w:tab/>
        <w:t>“(C)</w:t>
      </w:r>
      <w:r w:rsidRPr="007F1542">
        <w:rPr>
          <w:rFonts w:eastAsia="Calibri"/>
          <w:color w:val="000000" w:themeColor="text1"/>
          <w:u w:color="000000" w:themeColor="text1"/>
        </w:rPr>
        <w:tab/>
        <w:t>Any severance package, payment or other benefit of whatever nature conferred upon an executive officer or member of the board of the Public Service Authority or offered on or after May 15, 2021, must first be approved by the Agency Head Salary Commission before the Authority can enter into an agreement regarding a severance package, payment or other benefits. Any payment made in violation of this section is grounds for a claw</w:t>
      </w:r>
      <w:r w:rsidRPr="007F1542">
        <w:rPr>
          <w:rFonts w:eastAsia="Calibri"/>
          <w:color w:val="000000" w:themeColor="text1"/>
          <w:u w:color="000000" w:themeColor="text1"/>
        </w:rPr>
        <w:noBreakHyphen/>
        <w:t>back of the payment or benefit in a legal action brought by the Attorney General of this State seeking a recovery of that payment. The Public Service Authority must provide a report to the Agency Head Salary Commission by July 6, 2021, with information regarding any severance package, payment or other benefit conferred upon an executive officer or member of the board of the Public Service Authority from January 1, 2020, through June 30, 2021.”</w:t>
      </w:r>
    </w:p>
    <w:p w:rsidR="00ED0F81" w:rsidRPr="007F1542" w:rsidRDefault="00ED0F81"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r>
      <w:r w:rsidR="00ED0F81" w:rsidRPr="007F1542">
        <w:rPr>
          <w:rFonts w:eastAsia="Times New Roman"/>
          <w:color w:val="000000" w:themeColor="text1"/>
          <w:szCs w:val="24"/>
          <w:u w:color="000000" w:themeColor="text1"/>
        </w:rPr>
        <w:t>4</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Chapter 31, Title 58 of the 1976 Code is amended by adding: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225.</w:t>
      </w:r>
      <w:r w:rsidRPr="007F1542">
        <w:rPr>
          <w:rFonts w:eastAsia="Times New Roman"/>
          <w:color w:val="000000" w:themeColor="text1"/>
          <w:szCs w:val="24"/>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556BE9" w:rsidRPr="007F1542" w:rsidRDefault="00ED0F81"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t>5</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 xml:space="preserve">Chapter 31, Title 58 is amended by adding: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r w:rsidRPr="007F1542">
        <w:rPr>
          <w:rFonts w:eastAsia="Calibri"/>
          <w:color w:val="000000" w:themeColor="text1"/>
          <w:szCs w:val="24"/>
          <w:u w:color="000000" w:themeColor="text1"/>
        </w:rPr>
        <w:lastRenderedPageBreak/>
        <w:t xml:space="preserve">“Article 7 </w:t>
      </w:r>
      <w:r w:rsidRPr="007F1542">
        <w:rPr>
          <w:rFonts w:eastAsia="Calibri"/>
          <w:color w:val="000000" w:themeColor="text1"/>
          <w:szCs w:val="24"/>
          <w:u w:color="000000" w:themeColor="text1"/>
        </w:rPr>
        <w:noBreakHyphen/>
        <w:t xml:space="preserve"> NEW STATUTORY PROVISIONS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r w:rsidRPr="007F1542">
        <w:rPr>
          <w:rFonts w:eastAsia="Calibri"/>
          <w:color w:val="000000" w:themeColor="text1"/>
          <w:szCs w:val="24"/>
          <w:u w:color="000000" w:themeColor="text1"/>
        </w:rPr>
        <w:t>Retail Rates Process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56BE9" w:rsidRPr="007F1542" w:rsidRDefault="00556BE9" w:rsidP="00D167BF">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null1"/>
          <w:rFonts w:ascii="Times New Roman" w:hAnsi="Times New Roman"/>
          <w:iCs/>
          <w:color w:val="000000" w:themeColor="text1"/>
          <w:szCs w:val="24"/>
          <w:u w:color="000000" w:themeColor="text1"/>
        </w:rPr>
      </w:pPr>
      <w:r w:rsidRPr="007F1542">
        <w:rPr>
          <w:rFonts w:ascii="Times New Roman" w:eastAsia="Calibri" w:hAnsi="Times New Roman"/>
          <w:color w:val="000000" w:themeColor="text1"/>
          <w:szCs w:val="24"/>
          <w:u w:color="000000" w:themeColor="text1"/>
        </w:rPr>
        <w:tab/>
      </w:r>
      <w:r w:rsidRPr="007F1542">
        <w:rPr>
          <w:rFonts w:ascii="Times New Roman" w:eastAsia="Calibri" w:hAnsi="Times New Roman"/>
          <w:color w:val="000000" w:themeColor="text1"/>
          <w:u w:color="000000" w:themeColor="text1"/>
        </w:rPr>
        <w:t>Section 58</w:t>
      </w:r>
      <w:r w:rsidRPr="007F1542">
        <w:rPr>
          <w:rFonts w:ascii="Times New Roman" w:eastAsia="Calibri" w:hAnsi="Times New Roman"/>
          <w:color w:val="000000" w:themeColor="text1"/>
          <w:u w:color="000000" w:themeColor="text1"/>
        </w:rPr>
        <w:noBreakHyphen/>
        <w:t>31</w:t>
      </w:r>
      <w:r w:rsidRPr="007F1542">
        <w:rPr>
          <w:rFonts w:ascii="Times New Roman" w:eastAsia="Calibri" w:hAnsi="Times New Roman"/>
          <w:color w:val="000000" w:themeColor="text1"/>
          <w:u w:color="000000" w:themeColor="text1"/>
        </w:rPr>
        <w:noBreakHyphen/>
        <w:t>710.</w:t>
      </w:r>
      <w:r w:rsidRPr="007F1542">
        <w:rPr>
          <w:rFonts w:ascii="Times New Roman" w:eastAsia="Calibri" w:hAnsi="Times New Roman"/>
          <w:color w:val="000000" w:themeColor="text1"/>
          <w:u w:color="000000" w:themeColor="text1"/>
        </w:rPr>
        <w:tab/>
      </w:r>
      <w:r w:rsidRPr="007F1542">
        <w:rPr>
          <w:rStyle w:val="null1"/>
          <w:rFonts w:ascii="Times New Roman" w:hAnsi="Times New Roman"/>
          <w:iCs/>
          <w:color w:val="000000" w:themeColor="text1"/>
          <w:u w:color="000000" w:themeColor="text1"/>
        </w:rPr>
        <w:t>The Public Service Authority, through its board of directors, shall adopt and publish pricing principles that respect and balance factors including, but not limited to, adherence to the Authority’s mission to be a low</w:t>
      </w:r>
      <w:r w:rsidRPr="007F1542">
        <w:rPr>
          <w:rStyle w:val="null1"/>
          <w:rFonts w:ascii="Times New Roman" w:hAnsi="Times New Roman"/>
          <w:iCs/>
          <w:color w:val="000000" w:themeColor="text1"/>
          <w:u w:color="000000" w:themeColor="text1"/>
        </w:rPr>
        <w:noBreakHyphen/>
        <w:t xml:space="preserve">cost provider, reliability, transparency, preservation of the Authority’s financial integrity, equity among customer classes, gradualism in adjustments to its pricing and rate schedule type, encouragement of efficiency </w:t>
      </w:r>
      <w:r w:rsidRPr="007F1542">
        <w:rPr>
          <w:rFonts w:ascii="Times New Roman" w:hAnsi="Times New Roman"/>
          <w:color w:val="000000" w:themeColor="text1"/>
        </w:rPr>
        <w:t>and demand response</w:t>
      </w:r>
      <w:r w:rsidRPr="007F1542">
        <w:rPr>
          <w:rStyle w:val="null1"/>
          <w:rFonts w:ascii="Times New Roman" w:hAnsi="Times New Roman"/>
          <w:iCs/>
          <w:color w:val="000000" w:themeColor="text1"/>
          <w:u w:color="000000" w:themeColor="text1"/>
        </w:rPr>
        <w:t xml:space="preserve">, adequate notice to customers, </w:t>
      </w:r>
      <w:r w:rsidRPr="007F1542">
        <w:rPr>
          <w:rFonts w:ascii="Times New Roman" w:hAnsi="Times New Roman"/>
          <w:color w:val="000000" w:themeColor="text1"/>
        </w:rPr>
        <w:t>and</w:t>
      </w:r>
      <w:r w:rsidRPr="007F1542">
        <w:rPr>
          <w:rStyle w:val="null1"/>
          <w:rFonts w:ascii="Times New Roman" w:hAnsi="Times New Roman"/>
          <w:iCs/>
          <w:color w:val="000000" w:themeColor="text1"/>
        </w:rPr>
        <w:t xml:space="preserve"> </w:t>
      </w:r>
      <w:r w:rsidRPr="007F1542">
        <w:rPr>
          <w:rStyle w:val="null1"/>
          <w:rFonts w:ascii="Times New Roman" w:hAnsi="Times New Roman"/>
          <w:iCs/>
          <w:color w:val="000000" w:themeColor="text1"/>
          <w:u w:color="000000" w:themeColor="text1"/>
        </w:rPr>
        <w:t xml:space="preserve">relief mechanisms for financially distressed customers. The Authority shall also maintain and continue to offer rate schedules </w:t>
      </w:r>
      <w:r w:rsidRPr="007F1542">
        <w:rPr>
          <w:rFonts w:ascii="Times New Roman" w:hAnsi="Times New Roman"/>
          <w:color w:val="000000" w:themeColor="text1"/>
        </w:rPr>
        <w:t>and options that</w:t>
      </w:r>
      <w:r w:rsidRPr="007F1542">
        <w:rPr>
          <w:rStyle w:val="null1"/>
          <w:rFonts w:ascii="Times New Roman" w:hAnsi="Times New Roman"/>
          <w:iCs/>
          <w:color w:val="000000" w:themeColor="text1"/>
          <w:u w:color="000000" w:themeColor="text1"/>
        </w:rPr>
        <w:t xml:space="preserve"> provide demand</w:t>
      </w:r>
      <w:r w:rsidRPr="007F1542">
        <w:rPr>
          <w:rStyle w:val="null1"/>
          <w:rFonts w:ascii="Times New Roman" w:hAnsi="Times New Roman"/>
          <w:iCs/>
          <w:color w:val="000000" w:themeColor="text1"/>
          <w:u w:color="000000" w:themeColor="text1"/>
        </w:rPr>
        <w:noBreakHyphen/>
        <w:t>side management flexibility</w:t>
      </w:r>
      <w:r w:rsidRPr="007F1542">
        <w:rPr>
          <w:rStyle w:val="null1"/>
          <w:rFonts w:ascii="Times New Roman" w:hAnsi="Times New Roman"/>
          <w:iCs/>
          <w:color w:val="000000" w:themeColor="text1"/>
        </w:rPr>
        <w:t>, including, but not limited to,</w:t>
      </w:r>
      <w:r w:rsidRPr="007F1542">
        <w:rPr>
          <w:rFonts w:ascii="Times New Roman" w:hAnsi="Times New Roman"/>
          <w:color w:val="000000" w:themeColor="text1"/>
        </w:rPr>
        <w:t xml:space="preserve"> non</w:t>
      </w:r>
      <w:r w:rsidRPr="007F1542">
        <w:rPr>
          <w:rFonts w:ascii="Times New Roman" w:hAnsi="Times New Roman"/>
          <w:color w:val="000000" w:themeColor="text1"/>
        </w:rPr>
        <w:noBreakHyphen/>
        <w:t>firm</w:t>
      </w:r>
      <w:r w:rsidR="00695C18" w:rsidRPr="007F1542">
        <w:rPr>
          <w:rFonts w:ascii="Times New Roman" w:hAnsi="Times New Roman"/>
          <w:color w:val="000000" w:themeColor="text1"/>
        </w:rPr>
        <w:t xml:space="preserve"> </w:t>
      </w:r>
      <w:r w:rsidRPr="007F1542">
        <w:rPr>
          <w:rFonts w:ascii="Times New Roman" w:hAnsi="Times New Roman"/>
          <w:color w:val="000000" w:themeColor="text1"/>
        </w:rPr>
        <w:t xml:space="preserve">sales and interruptible power rates, </w:t>
      </w:r>
      <w:r w:rsidRPr="007F1542">
        <w:rPr>
          <w:rStyle w:val="null1"/>
          <w:rFonts w:ascii="Times New Roman" w:hAnsi="Times New Roman"/>
          <w:iCs/>
          <w:color w:val="000000" w:themeColor="text1"/>
          <w:szCs w:val="24"/>
          <w:u w:color="000000" w:themeColor="text1"/>
        </w:rPr>
        <w:t>and conservation opportunities to its customers.</w:t>
      </w:r>
    </w:p>
    <w:p w:rsidR="00795786" w:rsidRPr="007F1542" w:rsidRDefault="00795786" w:rsidP="00D167BF">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t>Section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720.</w:t>
      </w:r>
      <w:r w:rsidRPr="007F1542">
        <w:rPr>
          <w:rFonts w:eastAsia="Calibri"/>
          <w:color w:val="000000" w:themeColor="text1"/>
          <w:szCs w:val="24"/>
          <w:u w:color="000000" w:themeColor="text1"/>
        </w:rPr>
        <w:tab/>
        <w:t>For purposes of this Article “customer” shall include the authority’s residential, commercial and industrial retail customers, and those wholesale customers served pursuant to contractual arrangements but excluding joint action agencies and those entities located outside the State.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t>Section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730.</w:t>
      </w:r>
      <w:r w:rsidRPr="007F1542">
        <w:rPr>
          <w:rFonts w:eastAsia="Calibri"/>
          <w:color w:val="000000" w:themeColor="text1"/>
          <w:szCs w:val="24"/>
          <w:u w:color="000000" w:themeColor="text1"/>
        </w:rPr>
        <w:tab/>
        <w:t>Prior to creating or revising any of its board</w:t>
      </w:r>
      <w:r w:rsidRPr="007F1542">
        <w:rPr>
          <w:rFonts w:eastAsia="Calibri"/>
          <w:color w:val="000000" w:themeColor="text1"/>
          <w:szCs w:val="24"/>
          <w:u w:color="000000" w:themeColor="text1"/>
        </w:rPr>
        <w:noBreakHyphen/>
        <w:t>approved retail rate schedules, the Public Service Authority, through resolution of its board of directors or otherwise, shall adopt a process that shall include the following: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t>(A)</w:t>
      </w:r>
      <w:r w:rsidRPr="007F1542">
        <w:rPr>
          <w:rFonts w:eastAsia="Calibri"/>
          <w:color w:val="000000" w:themeColor="text1"/>
          <w:szCs w:val="24"/>
          <w:u w:color="000000" w:themeColor="text1"/>
        </w:rPr>
        <w:tab/>
        <w:t>The authority shall provide notice to all customers at least one hundred and eighty days before the board of directors’ vote on a proposed rate adjustment.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(1)</w:t>
      </w:r>
      <w:r w:rsidRPr="007F1542">
        <w:rPr>
          <w:rFonts w:eastAsia="Calibri"/>
          <w:color w:val="000000" w:themeColor="text1"/>
          <w:szCs w:val="24"/>
          <w:u w:color="000000" w:themeColor="text1"/>
        </w:rPr>
        <w:tab/>
        <w:t>The one hundred and eighty days’ notice required under this section is established to allow customers to provide comments to the authority as follows: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(a)</w:t>
      </w:r>
      <w:r w:rsidRPr="007F1542">
        <w:rPr>
          <w:rFonts w:eastAsia="Calibri"/>
          <w:color w:val="000000" w:themeColor="text1"/>
          <w:szCs w:val="24"/>
          <w:u w:color="000000" w:themeColor="text1"/>
        </w:rPr>
        <w:tab/>
        <w:t>written comments to the authority for ninety days from the date of notice;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 xml:space="preserve">(b) </w:t>
      </w:r>
      <w:r w:rsidRPr="007F1542">
        <w:rPr>
          <w:rFonts w:eastAsia="Calibri"/>
          <w:color w:val="000000" w:themeColor="text1"/>
          <w:szCs w:val="24"/>
          <w:u w:color="000000" w:themeColor="text1"/>
        </w:rPr>
        <w:tab/>
        <w:t>oral comments to the authority for one hundred twenty days from the date of notice.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(2)</w:t>
      </w:r>
      <w:r w:rsidRPr="007F1542">
        <w:rPr>
          <w:rFonts w:eastAsia="Calibri"/>
          <w:color w:val="000000" w:themeColor="text1"/>
          <w:szCs w:val="24"/>
          <w:u w:color="000000" w:themeColor="text1"/>
        </w:rPr>
        <w:tab/>
        <w:t xml:space="preserve">The notice required by this subsection must be given in the following forms: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(a)</w:t>
      </w:r>
      <w:r w:rsidRPr="007F1542">
        <w:rPr>
          <w:rFonts w:eastAsia="Calibri"/>
          <w:color w:val="000000" w:themeColor="text1"/>
          <w:szCs w:val="24"/>
          <w:u w:color="000000" w:themeColor="text1"/>
        </w:rPr>
        <w:tab/>
        <w:t>by first</w:t>
      </w:r>
      <w:r w:rsidRPr="007F1542">
        <w:rPr>
          <w:rFonts w:eastAsia="Calibri"/>
          <w:color w:val="000000" w:themeColor="text1"/>
          <w:szCs w:val="24"/>
          <w:u w:color="000000" w:themeColor="text1"/>
        </w:rPr>
        <w:noBreakHyphen/>
        <w:t xml:space="preserve">class United States mail addressed to the customer’s billing address in the authority’s records at the time of the notice, or for customers who have elected paperless billing, by </w:t>
      </w:r>
      <w:r w:rsidRPr="007F1542">
        <w:rPr>
          <w:rFonts w:eastAsia="Calibri"/>
          <w:color w:val="000000" w:themeColor="text1"/>
          <w:szCs w:val="24"/>
          <w:u w:color="000000" w:themeColor="text1"/>
        </w:rPr>
        <w:lastRenderedPageBreak/>
        <w:t>the same means of communication used for providing these customers paperless billing;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(b)</w:t>
      </w:r>
      <w:r w:rsidRPr="007F1542">
        <w:rPr>
          <w:rFonts w:eastAsia="Calibri"/>
          <w:color w:val="000000" w:themeColor="text1"/>
          <w:szCs w:val="24"/>
          <w:u w:color="000000" w:themeColor="text1"/>
        </w:rPr>
        <w:tab/>
        <w:t>by advertisements to be published in newspapers of general circulation within the service territory of the authority;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(c)</w:t>
      </w:r>
      <w:r w:rsidRPr="007F1542">
        <w:rPr>
          <w:rFonts w:eastAsia="Calibri"/>
          <w:color w:val="000000" w:themeColor="text1"/>
          <w:szCs w:val="24"/>
          <w:u w:color="000000" w:themeColor="text1"/>
        </w:rPr>
        <w:tab/>
        <w:t>by way of the authority’s regularly maintained website, including a conspicuous portal or link accessible from the website’s landing page;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(d)</w:t>
      </w:r>
      <w:r w:rsidRPr="007F1542">
        <w:rPr>
          <w:rFonts w:eastAsia="Calibri"/>
          <w:color w:val="000000" w:themeColor="text1"/>
          <w:szCs w:val="24"/>
          <w:u w:color="000000" w:themeColor="text1"/>
        </w:rPr>
        <w:tab/>
        <w:t>by issuance of a news release to local news outlets.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(3)</w:t>
      </w:r>
      <w:r w:rsidRPr="007F1542">
        <w:rPr>
          <w:rFonts w:eastAsia="Calibri"/>
          <w:color w:val="000000" w:themeColor="text1"/>
          <w:szCs w:val="24"/>
          <w:u w:color="000000" w:themeColor="text1"/>
        </w:rPr>
        <w:tab/>
        <w:t>The notice of proposed rate adjustments required by this subsection shall contain the following information: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(a)</w:t>
      </w:r>
      <w:r w:rsidRPr="007F1542">
        <w:rPr>
          <w:rFonts w:eastAsia="Calibri"/>
          <w:color w:val="000000" w:themeColor="text1"/>
          <w:szCs w:val="24"/>
          <w:u w:color="000000" w:themeColor="text1"/>
        </w:rPr>
        <w:tab/>
        <w:t>the date, time, and location of all public meetings;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(b)</w:t>
      </w:r>
      <w:r w:rsidRPr="007F1542">
        <w:rPr>
          <w:rFonts w:eastAsia="Calibri"/>
          <w:color w:val="000000" w:themeColor="text1"/>
          <w:szCs w:val="24"/>
          <w:u w:color="000000" w:themeColor="text1"/>
        </w:rPr>
        <w:tab/>
        <w:t>the date, time, and location of the meeting at which a proposed rate adjustment is expected to be submitted to the board of directors for its consideration;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(c)</w:t>
      </w:r>
      <w:r w:rsidRPr="007F1542">
        <w:rPr>
          <w:rFonts w:eastAsia="Calibri"/>
          <w:color w:val="000000" w:themeColor="text1"/>
          <w:szCs w:val="24"/>
          <w:u w:color="000000" w:themeColor="text1"/>
        </w:rPr>
        <w:tab/>
        <w:t>the date, time, and location of the meeting at which the board of directors is expected to vote on the proposed rate adjustment;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(d)</w:t>
      </w:r>
      <w:r w:rsidRPr="007F1542">
        <w:rPr>
          <w:rFonts w:eastAsia="Calibri"/>
          <w:color w:val="000000" w:themeColor="text1"/>
          <w:szCs w:val="24"/>
          <w:u w:color="000000" w:themeColor="text1"/>
        </w:rPr>
        <w:tab/>
        <w:t xml:space="preserve">a notification to customers of their right to: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(i)</w:t>
      </w:r>
      <w:r w:rsidRPr="007F1542">
        <w:rPr>
          <w:rFonts w:eastAsia="Calibri"/>
          <w:color w:val="000000" w:themeColor="text1"/>
          <w:szCs w:val="24"/>
          <w:u w:color="000000" w:themeColor="text1"/>
        </w:rPr>
        <w:tab/>
        <w:t>review the proposed rate schedules;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(ii)</w:t>
      </w:r>
      <w:r w:rsidRPr="007F1542">
        <w:rPr>
          <w:rFonts w:eastAsia="Calibri"/>
          <w:color w:val="000000" w:themeColor="text1"/>
          <w:szCs w:val="24"/>
          <w:u w:color="000000" w:themeColor="text1"/>
        </w:rPr>
        <w:tab/>
        <w:t>appear and speak in person concerning the proposed rates at public meetings or the specified meetings of the board of directors;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(iii)</w:t>
      </w:r>
      <w:r w:rsidRPr="007F1542">
        <w:rPr>
          <w:rFonts w:eastAsia="Calibri"/>
          <w:color w:val="000000" w:themeColor="text1"/>
          <w:szCs w:val="24"/>
          <w:u w:color="000000" w:themeColor="text1"/>
        </w:rPr>
        <w:tab/>
        <w:t>submit written comments;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(e)</w:t>
      </w:r>
      <w:r w:rsidRPr="007F1542">
        <w:rPr>
          <w:rFonts w:eastAsia="Calibri"/>
          <w:color w:val="000000" w:themeColor="text1"/>
          <w:szCs w:val="24"/>
          <w:u w:color="000000" w:themeColor="text1"/>
        </w:rPr>
        <w:tab/>
        <w:t>the means by which customers can submit written comments, including the email and physical addresses to which written comments may be submitted, and the deadline for submitting such comments;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(f)</w:t>
      </w:r>
      <w:r w:rsidRPr="007F1542">
        <w:rPr>
          <w:rFonts w:eastAsia="Calibri"/>
          <w:color w:val="000000" w:themeColor="text1"/>
          <w:szCs w:val="24"/>
          <w:u w:color="000000" w:themeColor="text1"/>
        </w:rPr>
        <w:tab/>
        <w:t>the means by which customers can access and review the authority’s written report containing the proposed rate adjustments, the non</w:t>
      </w:r>
      <w:r w:rsidRPr="007F1542">
        <w:rPr>
          <w:rFonts w:eastAsia="Calibri"/>
          <w:color w:val="000000" w:themeColor="text1"/>
          <w:szCs w:val="24"/>
          <w:u w:color="000000" w:themeColor="text1"/>
        </w:rPr>
        <w:noBreakHyphen/>
        <w:t>proprietary and non</w:t>
      </w:r>
      <w:r w:rsidRPr="007F1542">
        <w:rPr>
          <w:rFonts w:eastAsia="Calibri"/>
          <w:color w:val="000000" w:themeColor="text1"/>
          <w:szCs w:val="24"/>
          <w:u w:color="000000" w:themeColor="text1"/>
        </w:rPr>
        <w:noBreakHyphen/>
        <w:t>confidential portions of any rate study or other documentation developed by the authority in support of the rate adjustment which shall be available at the time the notice is issued</w:t>
      </w:r>
      <w:r w:rsidRPr="007F1542">
        <w:rPr>
          <w:rFonts w:eastAsia="Times New Roman"/>
          <w:color w:val="000000" w:themeColor="text1"/>
          <w:szCs w:val="24"/>
          <w:u w:color="000000" w:themeColor="text1"/>
        </w:rPr>
        <w: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(4)</w:t>
      </w:r>
      <w:r w:rsidRPr="007F1542">
        <w:rPr>
          <w:rFonts w:eastAsia="Calibri"/>
          <w:color w:val="000000" w:themeColor="text1"/>
          <w:szCs w:val="24"/>
          <w:u w:color="000000" w:themeColor="text1"/>
        </w:rPr>
        <w:tab/>
        <w:t xml:space="preserve">Contemporaneously with notice to customers, the authority shall provide notice of proposed rate adjustments to the Office of Regulatory Staff.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t>(B)</w:t>
      </w:r>
      <w:r w:rsidRPr="007F1542">
        <w:rPr>
          <w:rFonts w:eastAsia="Calibri"/>
          <w:color w:val="000000" w:themeColor="text1"/>
          <w:szCs w:val="24"/>
          <w:u w:color="000000" w:themeColor="text1"/>
        </w:rPr>
        <w:tab/>
        <w:t>In addition to the requirements of notice set forth above, the authority shall provide for the following in its retail rate adjustment process: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(1)</w:t>
      </w:r>
      <w:r w:rsidRPr="007F1542">
        <w:rPr>
          <w:rFonts w:eastAsia="Calibri"/>
          <w:color w:val="000000" w:themeColor="text1"/>
          <w:szCs w:val="24"/>
          <w:u w:color="000000" w:themeColor="text1"/>
        </w:rPr>
        <w:tab/>
        <w:t xml:space="preserve">the Office of Regulatory Staff must review any rate adjustments proposed </w:t>
      </w:r>
      <w:r w:rsidRPr="007F1542">
        <w:rPr>
          <w:rFonts w:eastAsia="Times New Roman"/>
          <w:color w:val="000000" w:themeColor="text1"/>
          <w:szCs w:val="24"/>
          <w:u w:color="000000" w:themeColor="text1"/>
        </w:rPr>
        <w:t>to the authority’s board of directors</w:t>
      </w:r>
      <w:r w:rsidRPr="007F1542">
        <w:rPr>
          <w:rFonts w:eastAsia="Calibri"/>
          <w:color w:val="000000" w:themeColor="text1"/>
          <w:szCs w:val="24"/>
          <w:u w:color="000000" w:themeColor="text1"/>
        </w:rPr>
        <w:t xml:space="preserve"> under this article. In accomplishing its responsibilities under this article</w:t>
      </w:r>
      <w:r w:rsidRPr="007F1542">
        <w:rPr>
          <w:rFonts w:eastAsia="Times New Roman"/>
          <w:color w:val="000000" w:themeColor="text1"/>
          <w:szCs w:val="24"/>
          <w:u w:color="000000" w:themeColor="text1"/>
        </w:rPr>
        <w:t>,</w:t>
      </w:r>
      <w:r w:rsidRPr="007F1542">
        <w:rPr>
          <w:rFonts w:eastAsia="Calibri"/>
          <w:color w:val="000000" w:themeColor="text1"/>
          <w:szCs w:val="24"/>
          <w:u w:color="000000" w:themeColor="text1"/>
        </w:rPr>
        <w:t xml:space="preserve"> the Office of Regulatory Staff must use the authority granted to it </w:t>
      </w:r>
      <w:r w:rsidRPr="007F1542">
        <w:rPr>
          <w:rFonts w:eastAsia="Calibri"/>
          <w:color w:val="000000" w:themeColor="text1"/>
          <w:szCs w:val="24"/>
          <w:u w:color="000000" w:themeColor="text1"/>
        </w:rPr>
        <w:lastRenderedPageBreak/>
        <w:t>pursuant to Section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 xml:space="preserve">225. </w:t>
      </w:r>
      <w:r w:rsidRPr="007F1542">
        <w:rPr>
          <w:rFonts w:eastAsia="Times New Roman"/>
          <w:color w:val="000000" w:themeColor="text1"/>
          <w:szCs w:val="24"/>
          <w:u w:color="000000" w:themeColor="text1"/>
        </w:rPr>
        <w:t xml:space="preserve">The </w:t>
      </w:r>
      <w:r w:rsidRPr="007F1542">
        <w:rPr>
          <w:rFonts w:eastAsia="Calibri"/>
          <w:color w:val="000000" w:themeColor="text1"/>
          <w:szCs w:val="24"/>
          <w:u w:color="000000" w:themeColor="text1"/>
        </w:rPr>
        <w:t xml:space="preserve">Office of Regulatory Staff must </w:t>
      </w:r>
      <w:r w:rsidRPr="007F1542">
        <w:rPr>
          <w:rFonts w:eastAsia="Times New Roman"/>
          <w:color w:val="000000" w:themeColor="text1"/>
          <w:szCs w:val="24"/>
          <w:u w:color="000000" w:themeColor="text1"/>
        </w:rPr>
        <w:t>treat as confidential or proprietary</w:t>
      </w:r>
      <w:r w:rsidRPr="007F1542">
        <w:rPr>
          <w:rFonts w:eastAsia="Calibri"/>
          <w:color w:val="000000" w:themeColor="text1"/>
          <w:szCs w:val="24"/>
          <w:u w:color="000000" w:themeColor="text1"/>
        </w:rPr>
        <w:t xml:space="preserve"> the </w:t>
      </w:r>
      <w:r w:rsidRPr="007F1542">
        <w:rPr>
          <w:rFonts w:eastAsia="Times New Roman"/>
          <w:color w:val="000000" w:themeColor="text1"/>
          <w:szCs w:val="24"/>
          <w:u w:color="000000" w:themeColor="text1"/>
        </w:rPr>
        <w:t>information provided by the authority</w:t>
      </w:r>
      <w:r w:rsidRPr="007F1542">
        <w:rPr>
          <w:rFonts w:eastAsia="Calibri"/>
          <w:color w:val="000000" w:themeColor="text1"/>
          <w:szCs w:val="24"/>
          <w:u w:color="000000" w:themeColor="text1"/>
        </w:rPr>
        <w:t xml:space="preserve"> pursuant to </w:t>
      </w:r>
      <w:r w:rsidRPr="007F1542">
        <w:rPr>
          <w:rFonts w:eastAsia="Times New Roman"/>
          <w:color w:val="000000" w:themeColor="text1"/>
          <w:szCs w:val="24"/>
          <w:u w:color="000000" w:themeColor="text1"/>
        </w:rPr>
        <w:t>this subsection that is identified by the authority as such unless or until the authority agrees that such information is no longer confidential or proprietary. Any disputes concerning whether such information is subject to protection must be resolved by the board of directors.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(2)</w:t>
      </w:r>
      <w:r w:rsidRPr="007F1542">
        <w:rPr>
          <w:rFonts w:eastAsia="Calibri"/>
          <w:color w:val="000000" w:themeColor="text1"/>
          <w:szCs w:val="24"/>
          <w:u w:color="000000" w:themeColor="text1"/>
        </w:rPr>
        <w:tab/>
        <w:t>a comprehensive review of the authority’s rate structure and rates, consistent with the provisions of Chapter 31, Title 58, and the Public Service Authority’s bond covenants concerning the Public Service Authority’s revenue requirements, provided that: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(a)</w:t>
      </w:r>
      <w:r w:rsidRPr="007F1542">
        <w:rPr>
          <w:rFonts w:eastAsia="Calibri"/>
          <w:color w:val="000000" w:themeColor="text1"/>
          <w:szCs w:val="24"/>
          <w:u w:color="000000" w:themeColor="text1"/>
        </w:rPr>
        <w:tab/>
        <w:t>management may engage consultants as necessary to assist the authority in completing this review;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(b)</w:t>
      </w:r>
      <w:r w:rsidRPr="007F1542">
        <w:rPr>
          <w:rFonts w:eastAsia="Calibri"/>
          <w:color w:val="000000" w:themeColor="text1"/>
          <w:szCs w:val="24"/>
          <w:u w:color="000000" w:themeColor="text1"/>
        </w:rPr>
        <w:tab/>
        <w:t xml:space="preserve">this review should include such subjects as the authority’s revenue requirements, rate/tariff design recognizing the provisions of any wholesale power supply agreement, and a comprehensive cost of service analysis that includes an allocation of costs, </w:t>
      </w:r>
      <w:r w:rsidRPr="007F1542">
        <w:rPr>
          <w:rFonts w:eastAsia="Times New Roman"/>
          <w:color w:val="000000" w:themeColor="text1"/>
          <w:szCs w:val="24"/>
          <w:u w:color="000000" w:themeColor="text1"/>
        </w:rPr>
        <w:t xml:space="preserve">between wholesale and retail customers, and </w:t>
      </w:r>
      <w:r w:rsidRPr="007F1542">
        <w:rPr>
          <w:rFonts w:eastAsia="Calibri"/>
          <w:color w:val="000000" w:themeColor="text1"/>
          <w:szCs w:val="24"/>
          <w:u w:color="000000" w:themeColor="text1"/>
        </w:rPr>
        <w:t xml:space="preserve">among all classes of </w:t>
      </w:r>
      <w:r w:rsidRPr="007F1542">
        <w:rPr>
          <w:rFonts w:eastAsia="Times New Roman"/>
          <w:color w:val="000000" w:themeColor="text1"/>
          <w:szCs w:val="24"/>
          <w:u w:color="000000" w:themeColor="text1"/>
        </w:rPr>
        <w:t>retail customers, including residential, commercial and industrial classes</w:t>
      </w:r>
      <w:r w:rsidRPr="007F1542">
        <w:rPr>
          <w:rFonts w:eastAsia="Calibri"/>
          <w:color w:val="000000" w:themeColor="text1"/>
          <w:szCs w:val="24"/>
          <w:u w:color="000000" w:themeColor="text1"/>
        </w:rPr>
        <w: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(3)</w:t>
      </w:r>
      <w:r w:rsidRPr="007F1542">
        <w:rPr>
          <w:rFonts w:eastAsia="Calibri"/>
          <w:color w:val="000000" w:themeColor="text1"/>
          <w:szCs w:val="24"/>
          <w:u w:color="000000" w:themeColor="text1"/>
        </w:rPr>
        <w:tab/>
        <w:t>a written report of management’s recommendations concerning proposed rate adjustments;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(4)</w:t>
      </w:r>
      <w:r w:rsidRPr="007F1542">
        <w:rPr>
          <w:rFonts w:eastAsia="Calibri"/>
          <w:color w:val="000000" w:themeColor="text1"/>
          <w:szCs w:val="24"/>
          <w:u w:color="000000" w:themeColor="text1"/>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(a)</w:t>
      </w:r>
      <w:r w:rsidRPr="007F1542">
        <w:rPr>
          <w:rFonts w:eastAsia="Calibri"/>
          <w:color w:val="000000" w:themeColor="text1"/>
          <w:szCs w:val="24"/>
          <w:u w:color="000000" w:themeColor="text1"/>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(b)</w:t>
      </w:r>
      <w:r w:rsidRPr="007F1542">
        <w:rPr>
          <w:rFonts w:eastAsia="Calibri"/>
          <w:color w:val="000000" w:themeColor="text1"/>
          <w:szCs w:val="24"/>
          <w:u w:color="000000" w:themeColor="text1"/>
        </w:rPr>
        <w:tab/>
        <w:t>the authority shall not be required to provide to customers analyses which disclose the commercially sensitive information of individual customers or which is otherwise proprietary or confidential;</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(5)</w:t>
      </w:r>
      <w:r w:rsidRPr="007F1542">
        <w:rPr>
          <w:rFonts w:eastAsia="Calibri"/>
          <w:color w:val="000000" w:themeColor="text1"/>
          <w:szCs w:val="24"/>
          <w:u w:color="000000" w:themeColor="text1"/>
        </w:rPr>
        <w:tab/>
        <w:t>public meetings, to be held at locations convenient for customers and within the authority’s service territory, provided that: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(a)</w:t>
      </w:r>
      <w:r w:rsidRPr="007F1542">
        <w:rPr>
          <w:rFonts w:eastAsia="Calibri"/>
          <w:color w:val="000000" w:themeColor="text1"/>
          <w:szCs w:val="24"/>
          <w:u w:color="000000" w:themeColor="text1"/>
        </w:rPr>
        <w:tab/>
        <w:t xml:space="preserve">the authority shall convene at least two public meetings at a minimum of two locations within its service territory for the </w:t>
      </w:r>
      <w:r w:rsidRPr="007F1542">
        <w:rPr>
          <w:rFonts w:eastAsia="Calibri"/>
          <w:color w:val="000000" w:themeColor="text1"/>
          <w:szCs w:val="24"/>
          <w:u w:color="000000" w:themeColor="text1"/>
        </w:rPr>
        <w:lastRenderedPageBreak/>
        <w:t xml:space="preserve">purpose of presenting the proposed rate adjustment and relevant information regarding the same to customers for their information and comment;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(b)</w:t>
      </w:r>
      <w:r w:rsidRPr="007F1542">
        <w:rPr>
          <w:rFonts w:eastAsia="Calibri"/>
          <w:color w:val="000000" w:themeColor="text1"/>
          <w:szCs w:val="24"/>
          <w:u w:color="000000" w:themeColor="text1"/>
        </w:rPr>
        <w:tab/>
        <w:t>customers may appear and speak in person at public meetings and direct comments and inquiries about the rate adjustment to representatives of the authority;</w:t>
      </w:r>
    </w:p>
    <w:p w:rsidR="00556BE9" w:rsidRPr="007F1542" w:rsidRDefault="00ED0F81"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color w:val="000000" w:themeColor="text1"/>
          <w:szCs w:val="24"/>
          <w:u w:color="000000" w:themeColor="text1"/>
        </w:rPr>
        <w:tab/>
      </w:r>
      <w:r w:rsidRPr="007F1542">
        <w:rPr>
          <w:color w:val="000000" w:themeColor="text1"/>
          <w:szCs w:val="24"/>
          <w:u w:color="000000" w:themeColor="text1"/>
        </w:rPr>
        <w:tab/>
      </w:r>
      <w:r w:rsidRPr="007F1542">
        <w:rPr>
          <w:color w:val="000000" w:themeColor="text1"/>
          <w:szCs w:val="24"/>
          <w:u w:color="000000" w:themeColor="text1"/>
        </w:rPr>
        <w:tab/>
        <w:t>(c)</w:t>
      </w:r>
      <w:r w:rsidRPr="007F1542">
        <w:rPr>
          <w:color w:val="000000" w:themeColor="text1"/>
          <w:szCs w:val="24"/>
          <w:u w:color="000000" w:themeColor="text1"/>
        </w:rPr>
        <w:tab/>
        <w:t>at least one representative of the authority’s staff or management and a quorum of the board of directors shall attend each public meeting;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(d)</w:t>
      </w:r>
      <w:r w:rsidRPr="007F1542">
        <w:rPr>
          <w:rFonts w:eastAsia="Calibri"/>
          <w:color w:val="000000" w:themeColor="text1"/>
          <w:szCs w:val="24"/>
          <w:u w:color="000000" w:themeColor="text1"/>
        </w:rPr>
        <w:tab/>
        <w:t>the authority shall cause a transcript of all such meetings to be prepared and maintained as a public record and for consideration by the board of directors prior to its consideration and vote on a proposed rate adjustment;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(e)</w:t>
      </w:r>
      <w:r w:rsidRPr="007F1542">
        <w:rPr>
          <w:rFonts w:eastAsia="Calibri"/>
          <w:color w:val="000000" w:themeColor="text1"/>
          <w:szCs w:val="24"/>
          <w:u w:color="000000" w:themeColor="text1"/>
        </w:rPr>
        <w:tab/>
        <w:t>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additional representatives of staff, management, or the board of directors in attendance at such meetings;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(6)</w:t>
      </w:r>
      <w:r w:rsidRPr="007F1542">
        <w:rPr>
          <w:rFonts w:eastAsia="Calibri"/>
          <w:color w:val="000000" w:themeColor="text1"/>
          <w:szCs w:val="24"/>
          <w:u w:color="000000" w:themeColor="text1"/>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(7)</w:t>
      </w:r>
      <w:r w:rsidRPr="007F1542">
        <w:rPr>
          <w:rFonts w:eastAsia="Calibri"/>
          <w:color w:val="000000" w:themeColor="text1"/>
          <w:szCs w:val="24"/>
          <w:u w:color="000000" w:themeColor="text1"/>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(8)</w:t>
      </w:r>
      <w:r w:rsidRPr="007F1542">
        <w:rPr>
          <w:rFonts w:eastAsia="Calibri"/>
          <w:color w:val="000000" w:themeColor="text1"/>
          <w:szCs w:val="24"/>
          <w:u w:color="000000" w:themeColor="text1"/>
        </w:rPr>
        <w:tab/>
        <w:t>a meeting of the board of directors, separate from its scheduled vote on proposed rate adjustments and no less than one hundred twenty days from the date of notice required pursuant to Section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730(A), at which the board of directors shall receive written comments received in accordance with Section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730(A)(1), and transcripts of the public meetings, provided that: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(a)</w:t>
      </w:r>
      <w:r w:rsidRPr="007F1542">
        <w:rPr>
          <w:rFonts w:eastAsia="Calibri"/>
          <w:color w:val="000000" w:themeColor="text1"/>
          <w:szCs w:val="24"/>
          <w:u w:color="000000" w:themeColor="text1"/>
        </w:rPr>
        <w:tab/>
        <w:t xml:space="preserve">at this meeting customers who will be affected by a rate adjustment shall be entitled to appear and speak in person for a </w:t>
      </w:r>
      <w:r w:rsidRPr="007F1542">
        <w:rPr>
          <w:rFonts w:eastAsia="Calibri"/>
          <w:color w:val="000000" w:themeColor="text1"/>
          <w:szCs w:val="24"/>
          <w:u w:color="000000" w:themeColor="text1"/>
        </w:rPr>
        <w:lastRenderedPageBreak/>
        <w:t>reasonable amount of time to offer their comments directly to the board of directors;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(b)</w:t>
      </w:r>
      <w:r w:rsidRPr="007F1542">
        <w:rPr>
          <w:rFonts w:eastAsia="Calibri"/>
          <w:color w:val="000000" w:themeColor="text1"/>
          <w:szCs w:val="24"/>
          <w:u w:color="000000" w:themeColor="text1"/>
        </w:rPr>
        <w:tab/>
        <w:t>customer comments received by the authority prior to this meeting and transcripts of the public meetings shall be submitted to the board of directors for their consideration in the determination of rates;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(c)</w:t>
      </w:r>
      <w:r w:rsidRPr="007F1542">
        <w:rPr>
          <w:rFonts w:eastAsia="Calibri"/>
          <w:color w:val="000000" w:themeColor="text1"/>
          <w:szCs w:val="24"/>
          <w:u w:color="000000" w:themeColor="text1"/>
        </w:rPr>
        <w:tab/>
        <w:t>submissions from the Office of Regulatory Staff shall be provided to the board of directors for their consideration in the determination of rates;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(d)</w:t>
      </w:r>
      <w:r w:rsidRPr="007F1542">
        <w:rPr>
          <w:rFonts w:eastAsia="Calibri"/>
          <w:color w:val="000000" w:themeColor="text1"/>
          <w:szCs w:val="24"/>
          <w:u w:color="000000" w:themeColor="text1"/>
        </w:rPr>
        <w:tab/>
        <w:t xml:space="preserve">the authority shall cause a transcript of this meeting to be prepared and maintained as a public record;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(9)</w:t>
      </w:r>
      <w:r w:rsidRPr="007F1542">
        <w:rPr>
          <w:rFonts w:eastAsia="Calibri"/>
          <w:color w:val="000000" w:themeColor="text1"/>
          <w:szCs w:val="24"/>
          <w:u w:color="000000" w:themeColor="text1"/>
        </w:rPr>
        <w:tab/>
        <w:t>a meeting of the board of directors, separate from its scheduled vote on proposed rate adjustments and no less than one hundred fifty days from the date of notice required pursuant to Section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730(A), at which it shall receive the authority management’s recommendation, which shall be made publicly available, concerning proposed rate adjustments, the proposed rate schedules, and documentation supporting the same;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r>
      <w:r w:rsidRPr="007F1542">
        <w:rPr>
          <w:rFonts w:eastAsia="Calibri"/>
          <w:color w:val="000000" w:themeColor="text1"/>
          <w:szCs w:val="24"/>
          <w:u w:color="000000" w:themeColor="text1"/>
        </w:rPr>
        <w:tab/>
        <w:t>(10)</w:t>
      </w:r>
      <w:r w:rsidRPr="007F1542">
        <w:rPr>
          <w:rFonts w:eastAsia="Calibri"/>
          <w:color w:val="000000" w:themeColor="text1"/>
          <w:szCs w:val="24"/>
          <w:u w:color="000000" w:themeColor="text1"/>
        </w:rPr>
        <w:tab/>
        <w:t>a meeting at which the board of directors votes on the proposed rate adjustment, following notice as set forth in subsection (A) and completion of the process implemented by the board of directors pursuant to subsection (B).</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t>(C)</w:t>
      </w:r>
      <w:r w:rsidRPr="007F1542">
        <w:rPr>
          <w:rFonts w:eastAsia="Calibri"/>
          <w:color w:val="000000" w:themeColor="text1"/>
          <w:szCs w:val="24"/>
          <w:u w:color="000000" w:themeColor="text1"/>
        </w:rPr>
        <w:tab/>
        <w:t>Rates shall become effective no earlier than sixty days following board approval of proposed rate adjustments.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t>(D)</w:t>
      </w:r>
      <w:r w:rsidRPr="007F1542">
        <w:rPr>
          <w:rFonts w:eastAsia="Calibri"/>
          <w:color w:val="000000" w:themeColor="text1"/>
          <w:szCs w:val="24"/>
          <w:u w:color="000000" w:themeColor="text1"/>
        </w:rPr>
        <w:tab/>
        <w:t>Nothing contained in this section may be construed to limit or derogate from the state’s covenants as provided in Sections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30 and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360, and those covenants are hereby reaffirmed.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t>(E)</w:t>
      </w:r>
      <w:r w:rsidRPr="007F1542">
        <w:rPr>
          <w:rFonts w:eastAsia="Calibri"/>
          <w:color w:val="000000" w:themeColor="text1"/>
          <w:szCs w:val="24"/>
          <w:u w:color="000000" w:themeColor="text1"/>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556BE9" w:rsidRPr="007F1542" w:rsidRDefault="00795786"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snapToGrid w:val="0"/>
          <w:color w:val="000000" w:themeColor="text1"/>
          <w:szCs w:val="20"/>
        </w:rPr>
        <w:tab/>
      </w:r>
      <w:r w:rsidR="00ED0F81" w:rsidRPr="007F1542">
        <w:rPr>
          <w:rFonts w:eastAsia="Times New Roman"/>
          <w:snapToGrid w:val="0"/>
          <w:color w:val="000000" w:themeColor="text1"/>
          <w:szCs w:val="20"/>
        </w:rPr>
        <w:t>(F)</w:t>
      </w:r>
      <w:r w:rsidR="00ED0F81" w:rsidRPr="007F1542">
        <w:rPr>
          <w:rFonts w:eastAsia="Times New Roman"/>
          <w:snapToGrid w:val="0"/>
          <w:color w:val="000000" w:themeColor="text1"/>
          <w:szCs w:val="20"/>
        </w:rPr>
        <w:tab/>
      </w:r>
      <w:r w:rsidR="00ED0F81" w:rsidRPr="007F1542">
        <w:rPr>
          <w:rFonts w:eastAsia="Times New Roman"/>
          <w:iCs/>
          <w:snapToGrid w:val="0"/>
          <w:color w:val="000000" w:themeColor="text1"/>
          <w:szCs w:val="20"/>
        </w:rPr>
        <w:t>Notwithstanding the provisions of this section, the authority may place such adjusted rates and charges into effect on an interim basis under emergency circumstances such as the avoidance of default of its obligations and to ensure proper maintenance of its system; these interim rates must not be in effect for more than one year. Said adjusted rates and charges shall be subject to prospective rate adjustment in accordance with the terms of this section, p</w:t>
      </w:r>
      <w:r w:rsidR="00ED0F81" w:rsidRPr="007F1542">
        <w:rPr>
          <w:rFonts w:eastAsia="Times New Roman"/>
          <w:snapToGrid w:val="0"/>
          <w:color w:val="000000" w:themeColor="text1"/>
          <w:szCs w:val="20"/>
        </w:rPr>
        <w:t xml:space="preserve">rovided further, that the authority may implement experimental rates on an interim basis for the purpose of developing improved rate offerings for customers. These experimental rates will be </w:t>
      </w:r>
      <w:r w:rsidR="00ED0F81" w:rsidRPr="007F1542">
        <w:rPr>
          <w:rFonts w:eastAsia="Times New Roman"/>
          <w:snapToGrid w:val="0"/>
          <w:color w:val="000000" w:themeColor="text1"/>
          <w:szCs w:val="20"/>
        </w:rPr>
        <w:lastRenderedPageBreak/>
        <w:t>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to approval by the board only to the extent that they meet the requirements of Section 58</w:t>
      </w:r>
      <w:r w:rsidR="00ED0F81" w:rsidRPr="007F1542">
        <w:rPr>
          <w:rFonts w:eastAsia="Times New Roman"/>
          <w:snapToGrid w:val="0"/>
          <w:color w:val="000000" w:themeColor="text1"/>
          <w:szCs w:val="20"/>
        </w:rPr>
        <w:noBreakHyphen/>
        <w:t>31</w:t>
      </w:r>
      <w:r w:rsidR="00ED0F81" w:rsidRPr="007F1542">
        <w:rPr>
          <w:rFonts w:eastAsia="Times New Roman"/>
          <w:snapToGrid w:val="0"/>
          <w:color w:val="000000" w:themeColor="text1"/>
          <w:szCs w:val="20"/>
        </w:rPr>
        <w:noBreakHyphen/>
        <w:t>55.</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(G)</w:t>
      </w:r>
      <w:r w:rsidRPr="007F1542">
        <w:rPr>
          <w:rFonts w:eastAsia="Times New Roman"/>
          <w:color w:val="000000" w:themeColor="text1"/>
          <w:szCs w:val="24"/>
          <w:u w:color="000000" w:themeColor="text1"/>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(1)</w:t>
      </w:r>
      <w:r w:rsidRPr="007F1542">
        <w:rPr>
          <w:rFonts w:eastAsia="Times New Roman"/>
          <w:color w:val="000000" w:themeColor="text1"/>
          <w:szCs w:val="24"/>
          <w:u w:color="000000" w:themeColor="text1"/>
        </w:rPr>
        <w:tab/>
        <w:t>The Office of Regulatory Staff, or any customer who has submitted written or oral comments as permitted under this article is considered a “party in interest”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 xml:space="preserve">730(G)(2).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(2)</w:t>
      </w:r>
      <w:r w:rsidRPr="007F1542">
        <w:rPr>
          <w:rFonts w:eastAsia="Times New Roman"/>
          <w:color w:val="000000" w:themeColor="text1"/>
          <w:szCs w:val="24"/>
          <w:u w:color="000000" w:themeColor="text1"/>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(3)</w:t>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t>(a)</w:t>
      </w:r>
      <w:r w:rsidRPr="007F1542">
        <w:rPr>
          <w:rFonts w:eastAsia="Times New Roman"/>
          <w:color w:val="000000" w:themeColor="text1"/>
          <w:szCs w:val="24"/>
          <w:u w:color="000000" w:themeColor="text1"/>
          <w:lang w:val="en-PH"/>
        </w:rPr>
        <w:tab/>
        <w:t>in violation of constitutional or statutory provisions;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t>(b)</w:t>
      </w:r>
      <w:r w:rsidRPr="007F1542">
        <w:rPr>
          <w:rFonts w:eastAsia="Times New Roman"/>
          <w:color w:val="000000" w:themeColor="text1"/>
          <w:szCs w:val="24"/>
          <w:u w:color="000000" w:themeColor="text1"/>
          <w:lang w:val="en-PH"/>
        </w:rPr>
        <w:tab/>
        <w:t>in excess of the statutory authority of the authority;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t>(c)</w:t>
      </w:r>
      <w:r w:rsidRPr="007F1542">
        <w:rPr>
          <w:rFonts w:eastAsia="Times New Roman"/>
          <w:color w:val="000000" w:themeColor="text1"/>
          <w:szCs w:val="24"/>
          <w:u w:color="000000" w:themeColor="text1"/>
          <w:lang w:val="en-PH"/>
        </w:rPr>
        <w:tab/>
        <w:t>made upon unlawful procedure;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7F1542">
        <w:rPr>
          <w:rFonts w:eastAsia="Times New Roman"/>
          <w:color w:val="000000" w:themeColor="text1"/>
          <w:szCs w:val="24"/>
          <w:u w:color="000000" w:themeColor="text1"/>
          <w:lang w:val="en-PH"/>
        </w:rPr>
        <w:lastRenderedPageBreak/>
        <w:tab/>
      </w: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t>(d)</w:t>
      </w:r>
      <w:r w:rsidRPr="007F1542">
        <w:rPr>
          <w:rFonts w:eastAsia="Times New Roman"/>
          <w:color w:val="000000" w:themeColor="text1"/>
          <w:szCs w:val="24"/>
          <w:u w:color="000000" w:themeColor="text1"/>
          <w:lang w:val="en-PH"/>
        </w:rPr>
        <w:tab/>
        <w:t>affected by other error of law;</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t>(e)</w:t>
      </w:r>
      <w:r w:rsidRPr="007F1542">
        <w:rPr>
          <w:rFonts w:eastAsia="Times New Roman"/>
          <w:color w:val="000000" w:themeColor="text1"/>
          <w:szCs w:val="24"/>
          <w:u w:color="000000" w:themeColor="text1"/>
          <w:lang w:val="en-PH"/>
        </w:rPr>
        <w:tab/>
        <w:t>clearly erroneous in view of the reliable, probative, and substantial evidence on the whole record; or</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lang w:val="en-PH"/>
        </w:rPr>
      </w:pP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r>
      <w:r w:rsidRPr="007F1542">
        <w:rPr>
          <w:rFonts w:eastAsia="Times New Roman"/>
          <w:color w:val="000000" w:themeColor="text1"/>
          <w:szCs w:val="24"/>
          <w:u w:color="000000" w:themeColor="text1"/>
          <w:lang w:val="en-PH"/>
        </w:rPr>
        <w:tab/>
        <w:t>(f)</w:t>
      </w:r>
      <w:r w:rsidRPr="007F1542">
        <w:rPr>
          <w:rFonts w:eastAsia="Times New Roman"/>
          <w:color w:val="000000" w:themeColor="text1"/>
          <w:szCs w:val="24"/>
          <w:u w:color="000000" w:themeColor="text1"/>
          <w:lang w:val="en-PH"/>
        </w:rPr>
        <w:tab/>
        <w:t>arbitrary or capricious or characterized by abuse of discretion or clearly unwarranted exercise of discretion.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t>(H)</w:t>
      </w:r>
      <w:r w:rsidRPr="007F1542">
        <w:rPr>
          <w:rFonts w:eastAsia="Times New Roman"/>
          <w:color w:val="000000" w:themeColor="text1"/>
          <w:szCs w:val="24"/>
          <w:u w:color="000000" w:themeColor="text1"/>
        </w:rPr>
        <w:tab/>
        <w:t>The procedure provided in this article is the exclusive process for challenging any rate adjustments approved by the board 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55, 58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56, or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57.</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ab/>
        <w:t>Section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740.</w:t>
      </w:r>
      <w:r w:rsidRPr="007F1542">
        <w:rPr>
          <w:rFonts w:eastAsia="Calibri"/>
          <w:color w:val="000000" w:themeColor="text1"/>
          <w:szCs w:val="24"/>
          <w:u w:color="000000" w:themeColor="text1"/>
        </w:rPr>
        <w:tab/>
        <w:t>The authority shall submit to the Office of Regulatory Staff a pricing report each year, and its report must include an analysis of the adherence to the pricing principles required in Section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710, the current and projected electric customer pricing, a comparison of pricing to other utilities, and an analysis of the rates of return by customer class. After its review, the ORS shall issue comments on the authority’s annual pricing report to the authority’s board of directors and the Public Utility Review Committee.”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7F1542" w:rsidRDefault="00ED0F81"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t>6</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Section 58</w:t>
      </w:r>
      <w:r w:rsidR="00556BE9" w:rsidRPr="007F1542">
        <w:rPr>
          <w:rFonts w:eastAsia="Times New Roman"/>
          <w:color w:val="000000" w:themeColor="text1"/>
          <w:szCs w:val="24"/>
          <w:u w:color="000000" w:themeColor="text1"/>
        </w:rPr>
        <w:noBreakHyphen/>
        <w:t>33</w:t>
      </w:r>
      <w:r w:rsidR="00556BE9" w:rsidRPr="007F1542">
        <w:rPr>
          <w:rFonts w:eastAsia="Times New Roman"/>
          <w:color w:val="000000" w:themeColor="text1"/>
          <w:szCs w:val="24"/>
          <w:u w:color="000000" w:themeColor="text1"/>
        </w:rPr>
        <w:noBreakHyphen/>
        <w:t>20 of the 1976 Code of Laws is amended to read: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“Section 58</w:t>
      </w:r>
      <w:r w:rsidRPr="007F1542">
        <w:rPr>
          <w:rFonts w:eastAsia="Times New Roman"/>
          <w:color w:val="000000" w:themeColor="text1"/>
          <w:szCs w:val="24"/>
          <w:u w:color="000000" w:themeColor="text1"/>
        </w:rPr>
        <w:noBreakHyphen/>
        <w:t>33</w:t>
      </w:r>
      <w:r w:rsidRPr="007F1542">
        <w:rPr>
          <w:rFonts w:eastAsia="Times New Roman"/>
          <w:color w:val="000000" w:themeColor="text1"/>
          <w:szCs w:val="24"/>
          <w:u w:color="000000" w:themeColor="text1"/>
        </w:rPr>
        <w:noBreakHyphen/>
        <w:t>20.</w:t>
      </w:r>
      <w:r w:rsidRPr="007F1542">
        <w:rPr>
          <w:rFonts w:eastAsia="Times New Roman"/>
          <w:color w:val="000000" w:themeColor="text1"/>
          <w:szCs w:val="24"/>
          <w:u w:color="000000" w:themeColor="text1"/>
        </w:rPr>
        <w:tab/>
        <w:t>(1)</w:t>
      </w:r>
      <w:r w:rsidRPr="007F1542">
        <w:rPr>
          <w:rFonts w:eastAsia="Times New Roman"/>
          <w:color w:val="000000" w:themeColor="text1"/>
          <w:szCs w:val="24"/>
          <w:u w:color="000000" w:themeColor="text1"/>
        </w:rPr>
        <w:tab/>
        <w:t>The term ‘commission’ means Public Service Commission.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(2)</w:t>
      </w:r>
      <w:r w:rsidRPr="007F1542">
        <w:rPr>
          <w:rFonts w:eastAsia="Times New Roman"/>
          <w:color w:val="000000" w:themeColor="text1"/>
          <w:szCs w:val="24"/>
          <w:u w:color="000000" w:themeColor="text1"/>
        </w:rPr>
        <w:tab/>
        <w:t>The term ‘major utility facility’ means: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(a)</w:t>
      </w:r>
      <w:r w:rsidRPr="007F1542">
        <w:rPr>
          <w:rFonts w:eastAsia="Times New Roman"/>
          <w:color w:val="000000" w:themeColor="text1"/>
          <w:szCs w:val="24"/>
          <w:u w:color="000000" w:themeColor="text1"/>
        </w:rPr>
        <w:tab/>
        <w:t>electric generating plant and associated facilities designed for, or capable of, operation at a capacity of more than seventy</w:t>
      </w:r>
      <w:r w:rsidRPr="007F1542">
        <w:rPr>
          <w:rFonts w:eastAsia="Times New Roman"/>
          <w:color w:val="000000" w:themeColor="text1"/>
          <w:szCs w:val="24"/>
          <w:u w:color="000000" w:themeColor="text1"/>
        </w:rPr>
        <w:noBreakHyphen/>
        <w:t>five megawatts.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(b)</w:t>
      </w:r>
      <w:r w:rsidRPr="007F1542">
        <w:rPr>
          <w:rFonts w:eastAsia="Times New Roman"/>
          <w:color w:val="000000" w:themeColor="text1"/>
          <w:szCs w:val="24"/>
          <w:u w:color="000000" w:themeColor="text1"/>
        </w:rPr>
        <w:tab/>
        <w:t>an electric transmission line and associated facilities of a designed operating voltage of one hundred twenty</w:t>
      </w:r>
      <w:r w:rsidRPr="007F1542">
        <w:rPr>
          <w:rFonts w:eastAsia="Times New Roman"/>
          <w:color w:val="000000" w:themeColor="text1"/>
          <w:szCs w:val="24"/>
          <w:u w:color="000000" w:themeColor="text1"/>
        </w:rPr>
        <w:noBreakHyphen/>
        <w:t>five kilovolts or more; provided, however, that the words ‘major utility facility’ shall not include electric distribution lines and associated facilities</w:t>
      </w:r>
      <w:r w:rsidRPr="007F1542">
        <w:rPr>
          <w:rFonts w:eastAsia="Times New Roman"/>
          <w:strike/>
          <w:color w:val="000000" w:themeColor="text1"/>
          <w:szCs w:val="24"/>
          <w:u w:color="000000" w:themeColor="text1"/>
        </w:rPr>
        <w:t xml:space="preserve">, nor shall the words ‘major utility facility’ include electric transmission lines and associated facilities leased to and operated by (or which </w:t>
      </w:r>
      <w:r w:rsidRPr="007F1542">
        <w:rPr>
          <w:rFonts w:eastAsia="Times New Roman"/>
          <w:strike/>
          <w:color w:val="000000" w:themeColor="text1"/>
          <w:szCs w:val="24"/>
          <w:u w:color="000000" w:themeColor="text1"/>
        </w:rPr>
        <w:lastRenderedPageBreak/>
        <w:t>upon completion of construction are to be leased to and operated by) the South Carolina Public Service Authority</w:t>
      </w:r>
      <w:r w:rsidRPr="007F1542">
        <w:rPr>
          <w:rFonts w:eastAsia="Times New Roman"/>
          <w:color w:val="000000" w:themeColor="text1"/>
          <w:szCs w:val="24"/>
          <w:u w:color="000000" w:themeColor="text1"/>
        </w:rPr>
        <w: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(3)</w:t>
      </w:r>
      <w:r w:rsidRPr="007F1542">
        <w:rPr>
          <w:rFonts w:eastAsia="Times New Roman"/>
          <w:color w:val="000000" w:themeColor="text1"/>
          <w:szCs w:val="24"/>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(4)</w:t>
      </w:r>
      <w:r w:rsidRPr="007F1542">
        <w:rPr>
          <w:rFonts w:eastAsia="Times New Roman"/>
          <w:color w:val="000000" w:themeColor="text1"/>
          <w:szCs w:val="24"/>
          <w:u w:color="000000" w:themeColor="text1"/>
        </w:rPr>
        <w:tab/>
        <w:t>The term ‘municipality’ means any county or municipality within this State.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(5)</w:t>
      </w:r>
      <w:r w:rsidRPr="007F1542">
        <w:rPr>
          <w:rFonts w:eastAsia="Times New Roman"/>
          <w:color w:val="000000" w:themeColor="text1"/>
          <w:szCs w:val="24"/>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7F1542">
        <w:rPr>
          <w:rFonts w:eastAsia="Times New Roman"/>
          <w:color w:val="000000" w:themeColor="text1"/>
          <w:szCs w:val="24"/>
          <w:u w:val="single" w:color="000000" w:themeColor="text1"/>
        </w:rPr>
        <w:t xml:space="preserve"> and</w:t>
      </w:r>
      <w:r w:rsidRPr="007F1542">
        <w:rPr>
          <w:rFonts w:eastAsia="Times New Roman"/>
          <w:color w:val="000000" w:themeColor="text1"/>
          <w:szCs w:val="24"/>
          <w:u w:color="000000" w:themeColor="text1"/>
        </w:rPr>
        <w:t xml:space="preserve"> </w:t>
      </w:r>
      <w:r w:rsidRPr="007F1542">
        <w:rPr>
          <w:rFonts w:eastAsia="Times New Roman"/>
          <w:strike/>
          <w:color w:val="000000" w:themeColor="text1"/>
          <w:szCs w:val="24"/>
          <w:u w:color="000000" w:themeColor="text1"/>
        </w:rPr>
        <w:t xml:space="preserve">but </w:t>
      </w:r>
      <w:r w:rsidRPr="007F1542">
        <w:rPr>
          <w:rFonts w:eastAsia="Times New Roman"/>
          <w:color w:val="000000" w:themeColor="text1"/>
          <w:szCs w:val="24"/>
          <w:u w:color="000000" w:themeColor="text1"/>
        </w:rPr>
        <w:t xml:space="preserve">shall </w:t>
      </w:r>
      <w:r w:rsidRPr="007F1542">
        <w:rPr>
          <w:rFonts w:eastAsia="Times New Roman"/>
          <w:strike/>
          <w:color w:val="000000" w:themeColor="text1"/>
          <w:szCs w:val="24"/>
          <w:u w:color="000000" w:themeColor="text1"/>
        </w:rPr>
        <w:t>not</w:t>
      </w:r>
      <w:r w:rsidRPr="007F1542">
        <w:rPr>
          <w:rFonts w:eastAsia="Times New Roman"/>
          <w:color w:val="000000" w:themeColor="text1"/>
          <w:szCs w:val="24"/>
          <w:u w:color="000000" w:themeColor="text1"/>
        </w:rPr>
        <w:t xml:space="preserve"> include the South Carolina Public Service Authority.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(6)</w:t>
      </w:r>
      <w:r w:rsidRPr="007F1542">
        <w:rPr>
          <w:rFonts w:eastAsia="Times New Roman"/>
          <w:color w:val="000000" w:themeColor="text1"/>
          <w:szCs w:val="24"/>
          <w:u w:color="000000" w:themeColor="text1"/>
        </w:rPr>
        <w:tab/>
        <w:t xml:space="preserve">The term ‘public utility’ or ‘utility’ means any person engaged in the generating, distributing, sale, delivery, or furnishing of electricity for public use.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(7)</w:t>
      </w:r>
      <w:r w:rsidRPr="007F1542">
        <w:rPr>
          <w:rFonts w:eastAsia="Times New Roman"/>
          <w:color w:val="000000" w:themeColor="text1"/>
          <w:szCs w:val="24"/>
          <w:u w:color="000000" w:themeColor="text1"/>
        </w:rPr>
        <w:tab/>
        <w:t>The term ‘land’ means any real estate or any estate or interest therein, including water and riparian rights, regardless of the use to which it is devoted.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(8)</w:t>
      </w:r>
      <w:r w:rsidRPr="007F1542">
        <w:rPr>
          <w:rFonts w:eastAsia="Times New Roman"/>
          <w:color w:val="000000" w:themeColor="text1"/>
          <w:szCs w:val="24"/>
          <w:u w:color="000000" w:themeColor="text1"/>
        </w:rPr>
        <w:tab/>
        <w:t>The term ‘certificate’ means a certificate of environmental compatibility and public convenience and necessity.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t>(9)</w:t>
      </w:r>
      <w:r w:rsidRPr="007F1542">
        <w:rPr>
          <w:rFonts w:eastAsia="Times New Roman"/>
          <w:color w:val="000000" w:themeColor="text1"/>
          <w:szCs w:val="24"/>
          <w:u w:color="000000" w:themeColor="text1"/>
        </w:rPr>
        <w:tab/>
        <w:t>The term ‘regulatory staff’ means the executive director or the executive director and the employees of the Office of Regulatory Staff.”</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556BE9" w:rsidRPr="007F1542" w:rsidRDefault="00ED0F81"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t>7</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Section 58</w:t>
      </w:r>
      <w:r w:rsidR="00556BE9" w:rsidRPr="007F1542">
        <w:rPr>
          <w:rFonts w:eastAsia="Times New Roman"/>
          <w:color w:val="000000" w:themeColor="text1"/>
          <w:szCs w:val="24"/>
          <w:u w:color="000000" w:themeColor="text1"/>
        </w:rPr>
        <w:noBreakHyphen/>
        <w:t>33</w:t>
      </w:r>
      <w:r w:rsidR="00556BE9" w:rsidRPr="007F1542">
        <w:rPr>
          <w:rFonts w:eastAsia="Times New Roman"/>
          <w:color w:val="000000" w:themeColor="text1"/>
          <w:szCs w:val="24"/>
          <w:u w:color="000000" w:themeColor="text1"/>
        </w:rPr>
        <w:noBreakHyphen/>
        <w:t>110(4) of the 1976 Code of Laws is amended to read: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lang w:val="en-PH"/>
        </w:rPr>
      </w:pPr>
      <w:r w:rsidRPr="007F1542">
        <w:rPr>
          <w:color w:val="000000" w:themeColor="text1"/>
          <w:u w:color="000000" w:themeColor="text1"/>
          <w:lang w:val="en-PH"/>
        </w:rPr>
        <w:tab/>
        <w:t>“</w:t>
      </w:r>
      <w:r w:rsidRPr="007F1542">
        <w:rPr>
          <w:color w:val="000000" w:themeColor="text1"/>
          <w:szCs w:val="24"/>
          <w:u w:color="000000" w:themeColor="text1"/>
          <w:lang w:val="en-PH"/>
        </w:rPr>
        <w:t>(4)</w:t>
      </w:r>
      <w:r w:rsidRPr="007F1542">
        <w:rPr>
          <w:color w:val="000000" w:themeColor="text1"/>
          <w:szCs w:val="24"/>
          <w:u w:color="000000" w:themeColor="text1"/>
          <w:lang w:val="en-PH"/>
        </w:rPr>
        <w:tab/>
        <w:t>This chapter shall not apply to any major utility facility: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lang w:val="en-PH"/>
        </w:rPr>
      </w:pPr>
      <w:r w:rsidRPr="007F1542">
        <w:rPr>
          <w:color w:val="000000" w:themeColor="text1"/>
          <w:szCs w:val="24"/>
          <w:u w:color="000000" w:themeColor="text1"/>
          <w:lang w:val="en-PH"/>
        </w:rPr>
        <w:tab/>
      </w:r>
      <w:r w:rsidRPr="007F1542">
        <w:rPr>
          <w:color w:val="000000" w:themeColor="text1"/>
          <w:szCs w:val="24"/>
          <w:u w:color="000000" w:themeColor="text1"/>
          <w:lang w:val="en-PH"/>
        </w:rPr>
        <w:tab/>
        <w:t>(a)</w:t>
      </w:r>
      <w:r w:rsidRPr="007F1542">
        <w:rPr>
          <w:color w:val="000000" w:themeColor="text1"/>
          <w:szCs w:val="24"/>
          <w:u w:color="000000" w:themeColor="text1"/>
          <w:lang w:val="en-PH"/>
        </w:rPr>
        <w:tab/>
        <w:t>The construction of which is commenced within one year after January 1, 1972; or</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lang w:val="en-PH"/>
        </w:rPr>
      </w:pPr>
      <w:r w:rsidRPr="007F1542">
        <w:rPr>
          <w:color w:val="000000" w:themeColor="text1"/>
          <w:szCs w:val="24"/>
          <w:u w:color="000000" w:themeColor="text1"/>
          <w:lang w:val="en-PH"/>
        </w:rPr>
        <w:tab/>
      </w:r>
      <w:r w:rsidRPr="007F1542">
        <w:rPr>
          <w:color w:val="000000" w:themeColor="text1"/>
          <w:szCs w:val="24"/>
          <w:u w:color="000000" w:themeColor="text1"/>
          <w:lang w:val="en-PH"/>
        </w:rPr>
        <w:tab/>
        <w:t>(b)</w:t>
      </w:r>
      <w:r w:rsidRPr="007F1542">
        <w:rPr>
          <w:color w:val="000000" w:themeColor="text1"/>
          <w:szCs w:val="24"/>
          <w:u w:color="000000" w:themeColor="text1"/>
          <w:lang w:val="en-PH"/>
        </w:rPr>
        <w:tab/>
        <w:t>For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Pr="007F1542">
        <w:rPr>
          <w:color w:val="000000" w:themeColor="text1"/>
          <w:szCs w:val="24"/>
          <w:u w:color="000000" w:themeColor="text1"/>
          <w:lang w:val="en-PH"/>
        </w:rPr>
        <w:noBreakHyphen/>
        <w:t>33</w:t>
      </w:r>
      <w:r w:rsidRPr="007F1542">
        <w:rPr>
          <w:color w:val="000000" w:themeColor="text1"/>
          <w:szCs w:val="24"/>
          <w:u w:color="000000" w:themeColor="text1"/>
          <w:lang w:val="en-PH"/>
        </w:rPr>
        <w:noBreakHyphen/>
        <w:t>160.</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lang w:val="en-PH"/>
        </w:rPr>
      </w:pPr>
      <w:r w:rsidRPr="007F1542">
        <w:rPr>
          <w:color w:val="000000" w:themeColor="text1"/>
          <w:szCs w:val="24"/>
          <w:u w:color="000000" w:themeColor="text1"/>
          <w:lang w:val="en-PH"/>
        </w:rPr>
        <w:tab/>
      </w:r>
      <w:r w:rsidRPr="007F1542">
        <w:rPr>
          <w:color w:val="000000" w:themeColor="text1"/>
          <w:szCs w:val="24"/>
          <w:u w:color="000000" w:themeColor="text1"/>
          <w:lang w:val="en-PH"/>
        </w:rPr>
        <w:tab/>
        <w:t>(c)</w:t>
      </w:r>
      <w:r w:rsidRPr="007F1542">
        <w:rPr>
          <w:color w:val="000000" w:themeColor="text1"/>
          <w:szCs w:val="24"/>
          <w:u w:color="000000" w:themeColor="text1"/>
          <w:lang w:val="en-PH"/>
        </w:rPr>
        <w:tab/>
        <w:t xml:space="preserve">For which, prior to January 1, 1972, a governmental agency has approved the construction of the facility and </w:t>
      </w:r>
      <w:r w:rsidRPr="007F1542">
        <w:rPr>
          <w:color w:val="000000" w:themeColor="text1"/>
          <w:szCs w:val="24"/>
          <w:u w:color="000000" w:themeColor="text1"/>
          <w:lang w:val="en-PH"/>
        </w:rPr>
        <w:lastRenderedPageBreak/>
        <w:t>indebtedness has been incurred to finance all or part of the cost of such construction;</w:t>
      </w:r>
      <w:r w:rsidRPr="007F1542">
        <w:rPr>
          <w:strike/>
          <w:color w:val="000000" w:themeColor="text1"/>
          <w:szCs w:val="24"/>
          <w:u w:color="000000" w:themeColor="text1"/>
          <w:lang w:val="en-PH"/>
        </w:rPr>
        <w:t xml:space="preserve"> or</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lang w:val="en-PH"/>
        </w:rPr>
      </w:pPr>
      <w:r w:rsidRPr="007F1542">
        <w:rPr>
          <w:color w:val="000000" w:themeColor="text1"/>
          <w:szCs w:val="24"/>
          <w:u w:color="000000" w:themeColor="text1"/>
          <w:lang w:val="en-PH"/>
        </w:rPr>
        <w:tab/>
      </w:r>
      <w:r w:rsidRPr="007F1542">
        <w:rPr>
          <w:color w:val="000000" w:themeColor="text1"/>
          <w:szCs w:val="24"/>
          <w:u w:color="000000" w:themeColor="text1"/>
          <w:lang w:val="en-PH"/>
        </w:rPr>
        <w:tab/>
        <w:t>(d)</w:t>
      </w:r>
      <w:r w:rsidRPr="007F1542">
        <w:rPr>
          <w:color w:val="000000" w:themeColor="text1"/>
          <w:szCs w:val="24"/>
          <w:u w:color="000000" w:themeColor="text1"/>
          <w:lang w:val="en-PH"/>
        </w:rPr>
        <w:tab/>
        <w:t>Which is a hydroelectric generating facility over which the Federal Power Commission has licensing jurisdiction</w:t>
      </w:r>
      <w:r w:rsidRPr="007F1542">
        <w:rPr>
          <w:color w:val="000000" w:themeColor="text1"/>
          <w:szCs w:val="24"/>
          <w:u w:val="single" w:color="000000" w:themeColor="text1"/>
          <w:lang w:val="en-PH"/>
        </w:rPr>
        <w:t>; or</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lang w:val="en-PH"/>
        </w:rPr>
      </w:pPr>
      <w:r w:rsidRPr="007F1542">
        <w:rPr>
          <w:color w:val="000000" w:themeColor="text1"/>
          <w:szCs w:val="24"/>
          <w:lang w:val="en-PH"/>
        </w:rPr>
        <w:tab/>
      </w:r>
      <w:r w:rsidRPr="007F1542">
        <w:rPr>
          <w:color w:val="000000" w:themeColor="text1"/>
          <w:szCs w:val="24"/>
          <w:lang w:val="en-PH"/>
        </w:rPr>
        <w:tab/>
      </w:r>
      <w:r w:rsidRPr="007F1542">
        <w:rPr>
          <w:color w:val="000000" w:themeColor="text1"/>
          <w:szCs w:val="24"/>
          <w:u w:val="single" w:color="000000" w:themeColor="text1"/>
          <w:lang w:val="en-PH"/>
        </w:rPr>
        <w:t>(e)</w:t>
      </w:r>
      <w:r w:rsidRPr="007F1542">
        <w:rPr>
          <w:color w:val="000000" w:themeColor="text1"/>
          <w:szCs w:val="24"/>
          <w:lang w:val="en-PH"/>
        </w:rPr>
        <w:tab/>
      </w:r>
      <w:r w:rsidRPr="007F1542">
        <w:rPr>
          <w:color w:val="000000" w:themeColor="text1"/>
          <w:szCs w:val="24"/>
          <w:u w:val="single" w:color="000000" w:themeColor="text1"/>
          <w:lang w:val="en-PH"/>
        </w:rPr>
        <w:t>Which is a transmission line or associated electrical transmission facilities constructed by the South Carolina Public Service Authority, for which construction either is commenced within one year after January 1, 2022, or is necessary to maintain system reliability in connection with the closure of the Winyah Generating Station, provided that such transmission is not for generation subject to this chapter.</w:t>
      </w:r>
      <w:r w:rsidRPr="007F1542">
        <w:rPr>
          <w:color w:val="000000" w:themeColor="text1"/>
          <w:szCs w:val="24"/>
          <w:u w:color="000000" w:themeColor="text1"/>
          <w:lang w:val="en-PH"/>
        </w:rPr>
        <w: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7F1542" w:rsidRDefault="00EF394B"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t>8</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Section 58</w:t>
      </w:r>
      <w:r w:rsidR="00556BE9" w:rsidRPr="007F1542">
        <w:rPr>
          <w:rFonts w:eastAsia="Times New Roman"/>
          <w:color w:val="000000" w:themeColor="text1"/>
          <w:szCs w:val="24"/>
          <w:u w:color="000000" w:themeColor="text1"/>
        </w:rPr>
        <w:noBreakHyphen/>
        <w:t>37</w:t>
      </w:r>
      <w:r w:rsidR="00556BE9" w:rsidRPr="007F1542">
        <w:rPr>
          <w:rFonts w:eastAsia="Times New Roman"/>
          <w:color w:val="000000" w:themeColor="text1"/>
          <w:szCs w:val="24"/>
          <w:u w:color="000000" w:themeColor="text1"/>
        </w:rPr>
        <w:noBreakHyphen/>
        <w:t>40 of the 1976 Code of Laws is amended to read: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“Section 58</w:t>
      </w:r>
      <w:r w:rsidRPr="007F1542">
        <w:rPr>
          <w:rFonts w:eastAsia="Times New Roman"/>
          <w:color w:val="000000" w:themeColor="text1"/>
          <w:szCs w:val="24"/>
          <w:u w:color="000000" w:themeColor="text1"/>
        </w:rPr>
        <w:noBreakHyphen/>
        <w:t>37</w:t>
      </w:r>
      <w:r w:rsidRPr="007F1542">
        <w:rPr>
          <w:rFonts w:eastAsia="Times New Roman"/>
          <w:color w:val="000000" w:themeColor="text1"/>
          <w:szCs w:val="24"/>
          <w:u w:color="000000" w:themeColor="text1"/>
        </w:rPr>
        <w:noBreakHyphen/>
        <w:t>40.</w:t>
      </w:r>
      <w:r w:rsidRPr="007F1542">
        <w:rPr>
          <w:rFonts w:eastAsia="Times New Roman"/>
          <w:color w:val="000000" w:themeColor="text1"/>
          <w:szCs w:val="24"/>
          <w:u w:color="000000" w:themeColor="text1"/>
        </w:rPr>
        <w:tab/>
        <w:t>(A)</w:t>
      </w:r>
      <w:r w:rsidRPr="007F1542">
        <w:rPr>
          <w:rFonts w:eastAsia="Times New Roman"/>
          <w:color w:val="000000" w:themeColor="text1"/>
          <w:szCs w:val="24"/>
          <w:u w:color="000000" w:themeColor="text1"/>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(1)</w:t>
      </w:r>
      <w:r w:rsidRPr="007F1542">
        <w:rPr>
          <w:rFonts w:eastAsia="Times New Roman"/>
          <w:color w:val="000000" w:themeColor="text1"/>
          <w:szCs w:val="24"/>
          <w:u w:color="000000" w:themeColor="text1"/>
        </w:rPr>
        <w:tab/>
        <w:t xml:space="preserve">Each electrical utility </w:t>
      </w:r>
      <w:r w:rsidRPr="007F1542">
        <w:rPr>
          <w:rFonts w:eastAsia="Times New Roman"/>
          <w:color w:val="000000" w:themeColor="text1"/>
          <w:szCs w:val="24"/>
          <w:u w:val="single" w:color="000000" w:themeColor="text1"/>
        </w:rPr>
        <w:t>with one hundred thousand or more customer accounts</w:t>
      </w:r>
      <w:r w:rsidRPr="007F1542">
        <w:rPr>
          <w:rFonts w:eastAsia="Times New Roman"/>
          <w:color w:val="000000" w:themeColor="text1"/>
          <w:szCs w:val="24"/>
          <w:u w:color="000000" w:themeColor="text1"/>
        </w:rPr>
        <w:t xml:space="preserve"> must submit its integrated resource plan to the commission. The integrated resource plan must be posted on the electrical utility’s website and on the commission’s website.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(2)</w:t>
      </w:r>
      <w:r w:rsidRPr="007F1542">
        <w:rPr>
          <w:rFonts w:eastAsia="Times New Roman"/>
          <w:color w:val="000000" w:themeColor="text1"/>
          <w:szCs w:val="24"/>
          <w:u w:color="000000" w:themeColor="text1"/>
        </w:rPr>
        <w:tab/>
        <w:t>Electric cooperatives</w:t>
      </w:r>
      <w:r w:rsidRPr="007F1542">
        <w:rPr>
          <w:rFonts w:eastAsia="Times New Roman"/>
          <w:color w:val="000000" w:themeColor="text1"/>
          <w:szCs w:val="24"/>
          <w:u w:val="single" w:color="000000" w:themeColor="text1"/>
        </w:rPr>
        <w:t>, electric utilities with less than one hundred thousand customer accounts,</w:t>
      </w:r>
      <w:r w:rsidRPr="007F1542">
        <w:rPr>
          <w:rFonts w:eastAsia="Times New Roman"/>
          <w:color w:val="000000" w:themeColor="text1"/>
          <w:szCs w:val="24"/>
          <w:u w:color="000000" w:themeColor="text1"/>
        </w:rPr>
        <w:t xml:space="preserve"> and municipally owned electric utilities shall each submit an integrated resource plan to the State Energy Office. Each integrated resource plan must be posted on the State Energy Office’s website. If an electric cooperative</w:t>
      </w:r>
      <w:r w:rsidRPr="007F1542">
        <w:rPr>
          <w:rFonts w:eastAsia="Times New Roman"/>
          <w:color w:val="000000" w:themeColor="text1"/>
          <w:szCs w:val="24"/>
          <w:u w:val="single" w:color="000000" w:themeColor="text1"/>
        </w:rPr>
        <w:t>, electric utility with less than one hundred thousand customer accounts,</w:t>
      </w:r>
      <w:r w:rsidRPr="007F1542">
        <w:rPr>
          <w:rFonts w:eastAsia="Times New Roman"/>
          <w:color w:val="000000" w:themeColor="text1"/>
          <w:szCs w:val="24"/>
          <w:u w:color="000000" w:themeColor="text1"/>
        </w:rPr>
        <w:t xml:space="preser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w:t>
      </w:r>
      <w:r w:rsidRPr="007F1542">
        <w:rPr>
          <w:rFonts w:eastAsia="Times New Roman"/>
          <w:color w:val="000000" w:themeColor="text1"/>
          <w:szCs w:val="24"/>
          <w:u w:color="000000" w:themeColor="text1"/>
        </w:rPr>
        <w:lastRenderedPageBreak/>
        <w:t xml:space="preserve">cooperative or the municipally owned electric utility not owning or operating generation resources, the plan may state that fact or refer to the plan of the wholesale power generator. </w:t>
      </w:r>
      <w:r w:rsidRPr="007F1542">
        <w:rPr>
          <w:rFonts w:eastAsia="Times New Roman"/>
          <w:color w:val="000000" w:themeColor="text1"/>
          <w:szCs w:val="24"/>
          <w:u w:val="single" w:color="000000" w:themeColor="text1"/>
        </w:rPr>
        <w:t>Where plan components listed in subsections (B)(1) and (2) of this section do not apply to an electrical utility with less than one hundred thousand customer accounts as a result of its own generation resources being comprised of more than seventy</w:t>
      </w:r>
      <w:r w:rsidRPr="007F1542">
        <w:rPr>
          <w:rFonts w:eastAsia="Times New Roman"/>
          <w:color w:val="000000" w:themeColor="text1"/>
          <w:szCs w:val="24"/>
          <w:u w:val="single" w:color="000000" w:themeColor="text1"/>
        </w:rPr>
        <w:noBreakHyphen/>
        <w:t>five percent renewable energy or because it purchases wholesale load balancing generation services, then plan may state that fact or refer to the plan of the wholesale power generator.</w:t>
      </w:r>
      <w:r w:rsidRPr="007F1542">
        <w:rPr>
          <w:rFonts w:eastAsia="Times New Roman"/>
          <w:color w:val="000000" w:themeColor="text1"/>
          <w:szCs w:val="24"/>
          <w:u w:color="000000" w:themeColor="text1"/>
        </w:rPr>
        <w:t xml:space="preserve"> For purposes of this section, a wholesale power generator does not include a municipally created joint agency if that joint agency receives at least seventy</w:t>
      </w:r>
      <w:r w:rsidRPr="007F1542">
        <w:rPr>
          <w:rFonts w:eastAsia="Times New Roman"/>
          <w:color w:val="000000" w:themeColor="text1"/>
          <w:szCs w:val="24"/>
          <w:u w:color="000000" w:themeColor="text1"/>
        </w:rPr>
        <w:noBreakHyphen/>
        <w:t>five percent of its electricity from a generating facility owned in partnership with an electrical utility and that electrical utility: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(a)</w:t>
      </w:r>
      <w:r w:rsidRPr="007F1542">
        <w:rPr>
          <w:rFonts w:eastAsia="Times New Roman"/>
          <w:color w:val="000000" w:themeColor="text1"/>
          <w:szCs w:val="24"/>
          <w:u w:color="000000" w:themeColor="text1"/>
        </w:rPr>
        <w:tab/>
        <w:t>generally serves the area in which the joint agency’s members are located;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(b)</w:t>
      </w:r>
      <w:r w:rsidRPr="007F1542">
        <w:rPr>
          <w:rFonts w:eastAsia="Times New Roman"/>
          <w:color w:val="000000" w:themeColor="text1"/>
          <w:szCs w:val="24"/>
          <w:u w:color="000000" w:themeColor="text1"/>
        </w:rPr>
        <w:tab/>
        <w:t>is responsible for dispatching the capacity and output of the generated electricity.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strike/>
          <w:color w:val="000000" w:themeColor="text1"/>
          <w:szCs w:val="24"/>
          <w:u w:color="000000" w:themeColor="text1"/>
        </w:rPr>
        <w:t>(3)</w:t>
      </w:r>
      <w:r w:rsidRPr="007F1542">
        <w:rPr>
          <w:rFonts w:eastAsia="Times New Roman"/>
          <w:color w:val="000000" w:themeColor="text1"/>
          <w:szCs w:val="24"/>
          <w:u w:color="000000" w:themeColor="text1"/>
        </w:rPr>
        <w:tab/>
      </w:r>
      <w:r w:rsidRPr="007F1542">
        <w:rPr>
          <w:rFonts w:eastAsia="Times New Roman"/>
          <w:strike/>
          <w:color w:val="000000" w:themeColor="text1"/>
          <w:szCs w:val="24"/>
          <w:u w:color="000000" w:themeColor="text1"/>
        </w:rPr>
        <w:t>The South Carolina Public Service Authority shall submit its integrated resource plan to the State Energy Office.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7F1542">
        <w:rPr>
          <w:rFonts w:eastAsia="Times New Roman"/>
          <w:strike/>
          <w:color w:val="000000" w:themeColor="text1"/>
          <w:szCs w:val="24"/>
          <w:u w:color="000000" w:themeColor="text1"/>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State Energy Office’s website and on the Public Service Authority’s website.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(3)</w:t>
      </w:r>
      <w:r w:rsidRPr="007F1542">
        <w:rPr>
          <w:rFonts w:eastAsia="Times New Roman"/>
          <w:color w:val="000000" w:themeColor="text1"/>
          <w:szCs w:val="24"/>
        </w:rPr>
        <w:tab/>
      </w:r>
      <w:r w:rsidRPr="007F1542">
        <w:rPr>
          <w:rFonts w:eastAsia="Times New Roman"/>
          <w:color w:val="000000" w:themeColor="text1"/>
          <w:szCs w:val="24"/>
          <w:u w:val="single" w:color="000000" w:themeColor="text1"/>
        </w:rPr>
        <w:t xml:space="preserve">The South Carolina Public Service Authority shall adopt and publish resource planning principles that respect and balance factors including, but not limited to, customer focus, cost management, system reliability, risk and financial integrity to be used in development of its integrated resource plan, and shall submit an integrated resource plan to the Public Service Commission, the State Energy Office, and the Public Utilities Review Committee.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7F1542">
        <w:rPr>
          <w:rFonts w:eastAsia="Times New Roman"/>
          <w:color w:val="000000" w:themeColor="text1"/>
          <w:szCs w:val="24"/>
        </w:rPr>
        <w:tab/>
      </w:r>
      <w:r w:rsidRPr="007F1542">
        <w:rPr>
          <w:rFonts w:eastAsia="Times New Roman"/>
          <w:color w:val="000000" w:themeColor="text1"/>
          <w:szCs w:val="24"/>
        </w:rPr>
        <w:tab/>
      </w:r>
      <w:r w:rsidRPr="007F1542">
        <w:rPr>
          <w:rFonts w:eastAsia="Times New Roman"/>
          <w:color w:val="000000" w:themeColor="text1"/>
          <w:szCs w:val="24"/>
        </w:rPr>
        <w:tab/>
      </w:r>
      <w:r w:rsidRPr="007F1542">
        <w:rPr>
          <w:rFonts w:eastAsia="Times New Roman"/>
          <w:color w:val="000000" w:themeColor="text1"/>
          <w:szCs w:val="24"/>
          <w:u w:val="single" w:color="000000" w:themeColor="text1"/>
        </w:rPr>
        <w:t>(a)</w:t>
      </w:r>
      <w:r w:rsidRPr="007F1542">
        <w:rPr>
          <w:rFonts w:eastAsia="Times New Roman"/>
          <w:color w:val="000000" w:themeColor="text1"/>
          <w:szCs w:val="24"/>
        </w:rPr>
        <w:tab/>
      </w:r>
      <w:r w:rsidRPr="007F1542">
        <w:rPr>
          <w:rFonts w:eastAsia="Times New Roman"/>
          <w:color w:val="000000" w:themeColor="text1"/>
          <w:szCs w:val="24"/>
          <w:u w:val="single" w:color="000000" w:themeColor="text1"/>
        </w:rPr>
        <w:t>The integrated resource plan must provide the information required in Section 58</w:t>
      </w:r>
      <w:r w:rsidRPr="007F1542">
        <w:rPr>
          <w:rFonts w:eastAsia="Times New Roman"/>
          <w:color w:val="000000" w:themeColor="text1"/>
          <w:szCs w:val="24"/>
          <w:u w:val="single" w:color="000000" w:themeColor="text1"/>
        </w:rPr>
        <w:noBreakHyphen/>
        <w:t>37</w:t>
      </w:r>
      <w:r w:rsidRPr="007F1542">
        <w:rPr>
          <w:rFonts w:eastAsia="Times New Roman"/>
          <w:color w:val="000000" w:themeColor="text1"/>
          <w:szCs w:val="24"/>
          <w:u w:val="single" w:color="000000" w:themeColor="text1"/>
        </w:rPr>
        <w:noBreakHyphen/>
        <w:t xml:space="preserve">40(B) and must be developed in consultation with the electric cooperatives, including Central Electric Power Cooperative, and municipally owned electric utilities purchasing power and energy from the Public Service Authority, </w:t>
      </w:r>
      <w:r w:rsidRPr="007F1542">
        <w:rPr>
          <w:rFonts w:eastAsia="Times New Roman"/>
          <w:color w:val="000000" w:themeColor="text1"/>
          <w:szCs w:val="24"/>
          <w:u w:val="single" w:color="000000" w:themeColor="text1"/>
        </w:rPr>
        <w:lastRenderedPageBreak/>
        <w:t>and consider any feedback provided by retail customers; and shall include the effect of demand</w:t>
      </w:r>
      <w:r w:rsidRPr="007F1542">
        <w:rPr>
          <w:rFonts w:eastAsia="Times New Roman"/>
          <w:color w:val="000000" w:themeColor="text1"/>
          <w:szCs w:val="24"/>
          <w:u w:val="single" w:color="000000" w:themeColor="text1"/>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w:t>
      </w:r>
      <w:r w:rsidRPr="007F1542">
        <w:rPr>
          <w:rFonts w:eastAsia="Calibri"/>
          <w:color w:val="000000" w:themeColor="text1"/>
          <w:szCs w:val="24"/>
          <w:u w:val="single" w:color="000000" w:themeColor="text1"/>
        </w:rPr>
        <w:t>The Integrated Resource Plan of the South Carolina Public Service Authority shall include and evaluate at least one resource portfolio, which will reflect the closure of the Winyah Generating Station by 2028, designed to provide safe and reliable electricity service while meeting a net zero carbon emission goal by the year 2050.</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7F1542">
        <w:rPr>
          <w:rFonts w:eastAsia="Times New Roman"/>
          <w:color w:val="000000" w:themeColor="text1"/>
        </w:rPr>
        <w:tab/>
      </w:r>
      <w:r w:rsidRPr="007F1542">
        <w:rPr>
          <w:rFonts w:eastAsia="Times New Roman"/>
          <w:color w:val="000000" w:themeColor="text1"/>
        </w:rPr>
        <w:tab/>
      </w:r>
      <w:r w:rsidRPr="007F1542">
        <w:rPr>
          <w:rFonts w:eastAsia="Times New Roman"/>
          <w:color w:val="000000" w:themeColor="text1"/>
        </w:rPr>
        <w:tab/>
      </w:r>
      <w:r w:rsidRPr="007F1542">
        <w:rPr>
          <w:rFonts w:eastAsia="Times New Roman"/>
          <w:color w:val="000000" w:themeColor="text1"/>
          <w:szCs w:val="24"/>
          <w:u w:val="single" w:color="000000" w:themeColor="text1"/>
        </w:rPr>
        <w:t>(b)</w:t>
      </w:r>
      <w:r w:rsidR="00907C34" w:rsidRPr="007F1542">
        <w:rPr>
          <w:rFonts w:eastAsia="Times New Roman"/>
          <w:color w:val="000000" w:themeColor="text1"/>
          <w:szCs w:val="24"/>
        </w:rPr>
        <w:t xml:space="preserve"> </w:t>
      </w:r>
      <w:r w:rsidRPr="007F1542">
        <w:rPr>
          <w:rFonts w:eastAsia="Times New Roman"/>
          <w:color w:val="000000" w:themeColor="text1"/>
          <w:szCs w:val="24"/>
          <w:u w:val="single" w:color="000000" w:themeColor="text1"/>
        </w:rPr>
        <w:t>The commission shall not have the authority to approve or disapprove of the integrated resource plan but must have a public hearing for interested parties to comment on the integrated resource plan. Prior to the public hearing, the commission shall have a proceeding to review the Public Service Authority’s integrated resource plan which allows</w:t>
      </w:r>
      <w:r w:rsidRPr="007F1542">
        <w:rPr>
          <w:rFonts w:eastAsia="Calibri"/>
          <w:color w:val="000000" w:themeColor="text1"/>
          <w:szCs w:val="24"/>
          <w:u w:color="000000" w:themeColor="text1"/>
        </w:rPr>
        <w:t xml:space="preserve"> </w:t>
      </w:r>
      <w:r w:rsidRPr="007F1542">
        <w:rPr>
          <w:rFonts w:eastAsia="Calibri"/>
          <w:color w:val="000000" w:themeColor="text1"/>
          <w:szCs w:val="24"/>
          <w:u w:val="single" w:color="000000" w:themeColor="text1"/>
        </w:rPr>
        <w:t>intervention by interested parties. The commission shall</w:t>
      </w:r>
      <w:r w:rsidRPr="007F1542">
        <w:rPr>
          <w:rFonts w:eastAsia="Times New Roman"/>
          <w:color w:val="000000" w:themeColor="text1"/>
          <w:szCs w:val="24"/>
          <w:u w:val="single" w:color="000000" w:themeColor="text1"/>
        </w:rPr>
        <w:t xml:space="preserve"> establish a procedural schedule establishing the date for the public hearing and to permit testimony and reasonable discovery after an integrated resource plan is filed </w:t>
      </w:r>
      <w:r w:rsidRPr="007F1542">
        <w:rPr>
          <w:rFonts w:eastAsia="Calibri"/>
          <w:color w:val="000000" w:themeColor="text1"/>
          <w:szCs w:val="24"/>
          <w:u w:val="single" w:color="000000" w:themeColor="text1"/>
        </w:rPr>
        <w:t>in order to assist parties in obtaining evidence concerning the integrated resource plan, including the reasonableness and prudence of the plan and alternatives to the plan raised by intervening parties</w:t>
      </w:r>
      <w:r w:rsidRPr="007F1542">
        <w:rPr>
          <w:rFonts w:eastAsia="Times New Roman"/>
          <w:color w:val="000000" w:themeColor="text1"/>
          <w:szCs w:val="24"/>
          <w:u w:val="single" w:color="000000" w:themeColor="text1"/>
        </w:rPr>
        <w:t>. The Office of Regulatory Staff shall also provide comments regarding the integrated resource plan, including, but not limited to, any material differences between it and the integrated resource plan submitted to the Energy Office by the electric cooperatives. No later than three hundred days after the Public Service Authority files an integrated resource plan the commission shall issue a plan assessment applying the standards and factors set forth in Section 58</w:t>
      </w:r>
      <w:r w:rsidRPr="007F1542">
        <w:rPr>
          <w:rFonts w:eastAsia="Times New Roman"/>
          <w:color w:val="000000" w:themeColor="text1"/>
          <w:szCs w:val="24"/>
          <w:u w:val="single" w:color="000000" w:themeColor="text1"/>
        </w:rPr>
        <w:noBreakHyphen/>
        <w:t>37</w:t>
      </w:r>
      <w:r w:rsidRPr="007F1542">
        <w:rPr>
          <w:rFonts w:eastAsia="Times New Roman"/>
          <w:color w:val="000000" w:themeColor="text1"/>
          <w:szCs w:val="24"/>
          <w:u w:val="single" w:color="000000" w:themeColor="text1"/>
        </w:rPr>
        <w:noBreakHyphen/>
        <w:t xml:space="preserve">40(C)(2) as applied to electrical utilities and deliver it to the Public Service Authority’s board of directors and the Public Utilities Review Commission. </w:t>
      </w:r>
      <w:r w:rsidRPr="007F1542">
        <w:rPr>
          <w:rFonts w:eastAsia="Calibri"/>
          <w:color w:val="000000" w:themeColor="text1"/>
          <w:szCs w:val="24"/>
          <w:u w:val="single" w:color="000000" w:themeColor="text1"/>
        </w:rPr>
        <w:t xml:space="preserve">The parties to the proceeding will have an opportunity to file a proposed plan assessment for consideration by the commission prior to the commission issuing its final plan assessment.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7F1542">
        <w:rPr>
          <w:rFonts w:eastAsia="Calibri"/>
          <w:color w:val="000000" w:themeColor="text1"/>
        </w:rPr>
        <w:tab/>
      </w:r>
      <w:r w:rsidRPr="007F1542">
        <w:rPr>
          <w:rFonts w:eastAsia="Calibri"/>
          <w:color w:val="000000" w:themeColor="text1"/>
        </w:rPr>
        <w:tab/>
      </w:r>
      <w:r w:rsidRPr="007F1542">
        <w:rPr>
          <w:rFonts w:eastAsia="Calibri"/>
          <w:color w:val="000000" w:themeColor="text1"/>
        </w:rPr>
        <w:tab/>
      </w:r>
      <w:r w:rsidRPr="007F1542">
        <w:rPr>
          <w:rFonts w:eastAsia="Calibri"/>
          <w:color w:val="000000" w:themeColor="text1"/>
          <w:szCs w:val="24"/>
          <w:u w:val="single" w:color="000000" w:themeColor="text1"/>
        </w:rPr>
        <w:t>(c)</w:t>
      </w:r>
      <w:r w:rsidR="00907C34" w:rsidRPr="007F1542">
        <w:rPr>
          <w:rFonts w:eastAsia="Calibri"/>
          <w:color w:val="000000" w:themeColor="text1"/>
          <w:szCs w:val="24"/>
        </w:rPr>
        <w:t xml:space="preserve"> </w:t>
      </w:r>
      <w:r w:rsidRPr="007F1542">
        <w:rPr>
          <w:rFonts w:eastAsia="Calibri"/>
          <w:color w:val="000000" w:themeColor="text1"/>
          <w:szCs w:val="24"/>
          <w:u w:val="single" w:color="000000" w:themeColor="text1"/>
        </w:rPr>
        <w:t xml:space="preserve">Within sixty days after the issuance of the commission’s plan assessment, the Board of the Public Service Authority shall meet to consider the comments received from the public hearing and the Office of Regulatory Staff, and the commission’s plan assessment. The integrated resource plan must be finalized within the following sixty days and submitted to the commission, the </w:t>
      </w:r>
      <w:r w:rsidRPr="007F1542">
        <w:rPr>
          <w:rFonts w:eastAsia="Calibri"/>
          <w:color w:val="000000" w:themeColor="text1"/>
          <w:szCs w:val="24"/>
          <w:u w:val="single" w:color="000000" w:themeColor="text1"/>
        </w:rPr>
        <w:lastRenderedPageBreak/>
        <w:t xml:space="preserve">Office of Regulatory Staff and the Public Utilities Review Committee, and posted on the Public Service Authority’s website.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rPr>
        <w:t xml:space="preserve"> </w:t>
      </w:r>
      <w:r w:rsidRPr="007F1542">
        <w:rPr>
          <w:rFonts w:eastAsia="Times New Roman"/>
          <w:color w:val="000000" w:themeColor="text1"/>
          <w:szCs w:val="24"/>
        </w:rPr>
        <w:tab/>
      </w:r>
      <w:r w:rsidRPr="007F1542">
        <w:rPr>
          <w:rFonts w:eastAsia="Times New Roman"/>
          <w:color w:val="000000" w:themeColor="text1"/>
          <w:szCs w:val="24"/>
        </w:rPr>
        <w:tab/>
      </w:r>
      <w:r w:rsidRPr="007F1542">
        <w:rPr>
          <w:rFonts w:eastAsia="Times New Roman"/>
          <w:color w:val="000000" w:themeColor="text1"/>
          <w:szCs w:val="24"/>
        </w:rPr>
        <w:tab/>
      </w:r>
      <w:r w:rsidRPr="007F1542">
        <w:rPr>
          <w:rFonts w:eastAsia="Times New Roman"/>
          <w:color w:val="000000" w:themeColor="text1"/>
          <w:szCs w:val="24"/>
          <w:u w:val="single" w:color="000000" w:themeColor="text1"/>
        </w:rPr>
        <w:t>(d)</w:t>
      </w:r>
      <w:r w:rsidRPr="007F1542">
        <w:rPr>
          <w:rFonts w:eastAsia="Times New Roman"/>
          <w:color w:val="000000" w:themeColor="text1"/>
          <w:szCs w:val="24"/>
        </w:rPr>
        <w:tab/>
      </w:r>
      <w:r w:rsidRPr="007F1542">
        <w:rPr>
          <w:rFonts w:eastAsia="Times New Roman"/>
          <w:color w:val="000000" w:themeColor="text1"/>
          <w:szCs w:val="24"/>
          <w:u w:val="single" w:color="000000" w:themeColor="text1"/>
        </w:rPr>
        <w:t>Nothing in this Chapter of Title 58 gives the Public Service Commission or the Public Service Authority the power to amend or alter in any way any wholesale power supply agreement between the Public Service Authority and Central Electric Power Cooperative.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t>(B)(1)</w:t>
      </w:r>
      <w:r w:rsidRPr="007F1542">
        <w:rPr>
          <w:rFonts w:eastAsia="Calibri"/>
          <w:color w:val="000000" w:themeColor="text1"/>
          <w:szCs w:val="24"/>
          <w:u w:color="000000" w:themeColor="text1"/>
          <w:lang w:val="en-PH"/>
        </w:rPr>
        <w:tab/>
        <w:t>An integrated resource plan shall include all of the following: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(a)</w:t>
      </w:r>
      <w:r w:rsidRPr="007F1542">
        <w:rPr>
          <w:rFonts w:eastAsia="Calibri"/>
          <w:color w:val="000000" w:themeColor="text1"/>
          <w:szCs w:val="24"/>
          <w:u w:color="000000" w:themeColor="text1"/>
          <w:lang w:val="en-PH"/>
        </w:rPr>
        <w:tab/>
        <w:t>a long</w:t>
      </w:r>
      <w:r w:rsidRPr="007F1542">
        <w:rPr>
          <w:rFonts w:eastAsia="Calibri"/>
          <w:color w:val="000000" w:themeColor="text1"/>
          <w:szCs w:val="24"/>
          <w:u w:color="000000" w:themeColor="text1"/>
          <w:lang w:val="en-PH"/>
        </w:rPr>
        <w:noBreakHyphen/>
        <w:t>term forecast of the utility’s sales and peak demand under various reasonable scenarios;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(b)</w:t>
      </w:r>
      <w:r w:rsidRPr="007F1542">
        <w:rPr>
          <w:rFonts w:eastAsia="Calibri"/>
          <w:color w:val="000000" w:themeColor="text1"/>
          <w:szCs w:val="24"/>
          <w:u w:color="000000" w:themeColor="text1"/>
          <w:lang w:val="en-PH"/>
        </w:rPr>
        <w:tab/>
        <w:t>the type of generation technology proposed for a generation facility contained in the plan and the proposed capacity of the generation facility, including fuel cost sensitivities under various reasonable scenarios;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(c)</w:t>
      </w:r>
      <w:r w:rsidRPr="007F1542">
        <w:rPr>
          <w:rFonts w:eastAsia="Calibri"/>
          <w:color w:val="000000" w:themeColor="text1"/>
          <w:szCs w:val="24"/>
          <w:u w:color="000000" w:themeColor="text1"/>
          <w:lang w:val="en-PH"/>
        </w:rPr>
        <w:tab/>
        <w:t>projected energy purchased or produced by the utility from a renewable energy resource;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(d)</w:t>
      </w:r>
      <w:r w:rsidRPr="007F1542">
        <w:rPr>
          <w:rFonts w:eastAsia="Calibri"/>
          <w:color w:val="000000" w:themeColor="text1"/>
          <w:szCs w:val="24"/>
          <w:u w:color="000000" w:themeColor="text1"/>
          <w:lang w:val="en-PH"/>
        </w:rPr>
        <w:tab/>
        <w:t>a summary of the electrical transmission investments planned by the utility;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(e)</w:t>
      </w:r>
      <w:r w:rsidRPr="007F1542">
        <w:rPr>
          <w:rFonts w:eastAsia="Calibri"/>
          <w:color w:val="000000" w:themeColor="text1"/>
          <w:szCs w:val="24"/>
          <w:u w:color="000000" w:themeColor="text1"/>
          <w:lang w:val="en-PH"/>
        </w:rPr>
        <w:tab/>
        <w:t>several resource portfolios developed with the purpose of fairly evaluating the range of demand</w:t>
      </w:r>
      <w:r w:rsidRPr="007F1542">
        <w:rPr>
          <w:rFonts w:eastAsia="Calibri"/>
          <w:color w:val="000000" w:themeColor="text1"/>
          <w:szCs w:val="24"/>
          <w:u w:color="000000" w:themeColor="text1"/>
          <w:lang w:val="en-PH"/>
        </w:rPr>
        <w:noBreakHyphen/>
        <w:t>side, supply</w:t>
      </w:r>
      <w:r w:rsidRPr="007F1542">
        <w:rPr>
          <w:rFonts w:eastAsia="Calibri"/>
          <w:color w:val="000000" w:themeColor="text1"/>
          <w:szCs w:val="24"/>
          <w:u w:color="000000" w:themeColor="text1"/>
          <w:lang w:val="en-PH"/>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(i)</w:t>
      </w:r>
      <w:r w:rsidRPr="007F1542">
        <w:rPr>
          <w:rFonts w:eastAsia="Calibri"/>
          <w:color w:val="000000" w:themeColor="text1"/>
          <w:szCs w:val="24"/>
          <w:u w:color="000000" w:themeColor="text1"/>
          <w:lang w:val="en-PH"/>
        </w:rPr>
        <w:tab/>
        <w:t>customer energy efficiency and demand response programs;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(ii)</w:t>
      </w:r>
      <w:r w:rsidRPr="007F1542">
        <w:rPr>
          <w:rFonts w:eastAsia="Calibri"/>
          <w:color w:val="000000" w:themeColor="text1"/>
          <w:szCs w:val="24"/>
          <w:u w:color="000000" w:themeColor="text1"/>
          <w:lang w:val="en-PH"/>
        </w:rPr>
        <w:tab/>
        <w:t>facility retirement assumptions;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(iii)</w:t>
      </w:r>
      <w:r w:rsidRPr="007F1542">
        <w:rPr>
          <w:rFonts w:eastAsia="Calibri"/>
          <w:color w:val="000000" w:themeColor="text1"/>
          <w:szCs w:val="24"/>
          <w:u w:color="000000" w:themeColor="text1"/>
          <w:lang w:val="en-PH"/>
        </w:rPr>
        <w:tab/>
        <w:t>sensitivity analyses related to fuel costs, environmental regulations, and other uncertainties or risks;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(f)</w:t>
      </w:r>
      <w:r w:rsidRPr="007F1542">
        <w:rPr>
          <w:rFonts w:eastAsia="Calibri"/>
          <w:color w:val="000000" w:themeColor="text1"/>
          <w:szCs w:val="24"/>
          <w:u w:color="000000" w:themeColor="text1"/>
          <w:lang w:val="en-PH"/>
        </w:rPr>
        <w:tab/>
        <w:t>data regarding the utility’s current generation portfolio, including the age, licensing status, and remaining estimated life of operation for each facility in the portfolio;</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(g)</w:t>
      </w:r>
      <w:r w:rsidRPr="007F1542">
        <w:rPr>
          <w:rFonts w:eastAsia="Calibri"/>
          <w:color w:val="000000" w:themeColor="text1"/>
          <w:szCs w:val="24"/>
          <w:u w:color="000000" w:themeColor="text1"/>
          <w:lang w:val="en-PH"/>
        </w:rPr>
        <w:tab/>
        <w:t>plans for meeting current and future capacity needs with the cost estimates for all proposed resource portfolios in the plan;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(h)</w:t>
      </w:r>
      <w:r w:rsidRPr="007F1542">
        <w:rPr>
          <w:rFonts w:eastAsia="Calibri"/>
          <w:color w:val="000000" w:themeColor="text1"/>
          <w:szCs w:val="24"/>
          <w:u w:color="000000" w:themeColor="text1"/>
          <w:lang w:val="en-PH"/>
        </w:rPr>
        <w:tab/>
        <w:t>an analysis of the cost and reliability impacts of all reasonable options available to meet projected energy and capacity needs;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(i)</w:t>
      </w:r>
      <w:r w:rsidRPr="007F1542">
        <w:rPr>
          <w:rFonts w:eastAsia="Calibri"/>
          <w:color w:val="000000" w:themeColor="text1"/>
          <w:szCs w:val="24"/>
          <w:u w:color="000000" w:themeColor="text1"/>
          <w:lang w:val="en-PH"/>
        </w:rPr>
        <w:tab/>
        <w:t>a forecast of the utility’s peak demand, details regarding the amount of peak demand reduction the utility expects to achieve, and the actions the utility proposes to take in order to achieve that peak demand reduction.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lastRenderedPageBreak/>
        <w:tab/>
      </w:r>
      <w:r w:rsidRPr="007F1542">
        <w:rPr>
          <w:rFonts w:eastAsia="Calibri"/>
          <w:color w:val="000000" w:themeColor="text1"/>
          <w:szCs w:val="24"/>
          <w:u w:color="000000" w:themeColor="text1"/>
          <w:lang w:val="en-PH"/>
        </w:rPr>
        <w:tab/>
        <w:t>(2)</w:t>
      </w:r>
      <w:r w:rsidRPr="007F1542">
        <w:rPr>
          <w:rFonts w:eastAsia="Calibri"/>
          <w:color w:val="000000" w:themeColor="text1"/>
          <w:szCs w:val="24"/>
          <w:u w:color="000000" w:themeColor="text1"/>
          <w:lang w:val="en-PH"/>
        </w:rPr>
        <w:tab/>
        <w:t>An integrated resource plan may include distribution resource plans or integrated system operation plans.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t>(C)(1)</w:t>
      </w:r>
      <w:r w:rsidRPr="007F1542">
        <w:rPr>
          <w:rFonts w:eastAsia="Calibri"/>
          <w:color w:val="000000" w:themeColor="text1"/>
          <w:szCs w:val="24"/>
          <w:u w:color="000000" w:themeColor="text1"/>
          <w:lang w:val="en-PH"/>
        </w:rPr>
        <w:tab/>
      </w:r>
      <w:r w:rsidRPr="007F1542">
        <w:rPr>
          <w:rFonts w:eastAsia="Calibri"/>
          <w:color w:val="000000" w:themeColor="text1"/>
          <w:szCs w:val="24"/>
          <w:u w:val="single" w:color="000000" w:themeColor="text1"/>
          <w:lang w:val="en-PH"/>
        </w:rPr>
        <w:t>For each electrical utility subject to subsection (A)(1), the</w:t>
      </w:r>
      <w:r w:rsidRPr="007F1542">
        <w:rPr>
          <w:rFonts w:eastAsia="Calibri"/>
          <w:strike/>
          <w:color w:val="000000" w:themeColor="text1"/>
          <w:szCs w:val="24"/>
          <w:u w:color="000000" w:themeColor="text1"/>
          <w:lang w:val="en-PH"/>
        </w:rPr>
        <w:t>The</w:t>
      </w:r>
      <w:r w:rsidRPr="007F1542">
        <w:rPr>
          <w:rFonts w:eastAsia="Calibri"/>
          <w:color w:val="000000" w:themeColor="text1"/>
          <w:szCs w:val="24"/>
          <w:u w:color="000000" w:themeColor="text1"/>
          <w:lang w:val="en-PH"/>
        </w:rPr>
        <w:t xml:space="preserv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(2)</w:t>
      </w:r>
      <w:r w:rsidRPr="007F1542">
        <w:rPr>
          <w:rFonts w:eastAsia="Calibri"/>
          <w:color w:val="000000" w:themeColor="text1"/>
          <w:szCs w:val="24"/>
          <w:u w:color="000000" w:themeColor="text1"/>
          <w:lang w:val="en-PH"/>
        </w:rPr>
        <w:tab/>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(a)</w:t>
      </w:r>
      <w:r w:rsidRPr="007F1542">
        <w:rPr>
          <w:rFonts w:eastAsia="Calibri"/>
          <w:color w:val="000000" w:themeColor="text1"/>
          <w:szCs w:val="24"/>
          <w:u w:color="000000" w:themeColor="text1"/>
          <w:lang w:val="en-PH"/>
        </w:rPr>
        <w:tab/>
        <w:t>resource adequacy and capacity to serve anticipated peak electrical load, and applicable planning reserve margins;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(b)</w:t>
      </w:r>
      <w:r w:rsidRPr="007F1542">
        <w:rPr>
          <w:rFonts w:eastAsia="Calibri"/>
          <w:color w:val="000000" w:themeColor="text1"/>
          <w:szCs w:val="24"/>
          <w:u w:color="000000" w:themeColor="text1"/>
          <w:lang w:val="en-PH"/>
        </w:rPr>
        <w:tab/>
        <w:t>consumer affordability and least cost;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(c)</w:t>
      </w:r>
      <w:r w:rsidRPr="007F1542">
        <w:rPr>
          <w:rFonts w:eastAsia="Calibri"/>
          <w:color w:val="000000" w:themeColor="text1"/>
          <w:szCs w:val="24"/>
          <w:u w:color="000000" w:themeColor="text1"/>
          <w:lang w:val="en-PH"/>
        </w:rPr>
        <w:tab/>
        <w:t>compliance with applicable state and federal environmental regulations;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(d)</w:t>
      </w:r>
      <w:r w:rsidRPr="007F1542">
        <w:rPr>
          <w:rFonts w:eastAsia="Calibri"/>
          <w:color w:val="000000" w:themeColor="text1"/>
          <w:szCs w:val="24"/>
          <w:u w:color="000000" w:themeColor="text1"/>
          <w:lang w:val="en-PH"/>
        </w:rPr>
        <w:tab/>
        <w:t>power supply reliability;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(e)</w:t>
      </w:r>
      <w:r w:rsidRPr="007F1542">
        <w:rPr>
          <w:rFonts w:eastAsia="Calibri"/>
          <w:color w:val="000000" w:themeColor="text1"/>
          <w:szCs w:val="24"/>
          <w:u w:color="000000" w:themeColor="text1"/>
          <w:lang w:val="en-PH"/>
        </w:rPr>
        <w:tab/>
        <w:t>commodity price risks;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(f)</w:t>
      </w:r>
      <w:r w:rsidRPr="007F1542">
        <w:rPr>
          <w:rFonts w:eastAsia="Calibri"/>
          <w:color w:val="000000" w:themeColor="text1"/>
          <w:szCs w:val="24"/>
          <w:u w:color="000000" w:themeColor="text1"/>
          <w:lang w:val="en-PH"/>
        </w:rPr>
        <w:tab/>
        <w:t>diversity of generation supply;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(g)</w:t>
      </w:r>
      <w:r w:rsidRPr="007F1542">
        <w:rPr>
          <w:rFonts w:eastAsia="Calibri"/>
          <w:color w:val="000000" w:themeColor="text1"/>
          <w:szCs w:val="24"/>
          <w:u w:color="000000" w:themeColor="text1"/>
          <w:lang w:val="en-PH"/>
        </w:rPr>
        <w:tab/>
        <w:t>other foreseeable conditions that the commission determines to be for the public interest.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(3)</w:t>
      </w:r>
      <w:r w:rsidRPr="007F1542">
        <w:rPr>
          <w:rFonts w:eastAsia="Calibri"/>
          <w:color w:val="000000" w:themeColor="text1"/>
          <w:szCs w:val="24"/>
          <w:u w:color="000000" w:themeColor="text1"/>
          <w:lang w:val="en-PH"/>
        </w:rPr>
        <w:tab/>
        <w:t>If the commission modifies or rejects an electrical utility’s integrated resource plan, the electrical utility, within sixty days after the date of the final order, shall submit a revised plan addressing concerns identified by the commission and incorporating commission</w:t>
      </w:r>
      <w:r w:rsidRPr="007F1542">
        <w:rPr>
          <w:rFonts w:eastAsia="Calibri"/>
          <w:color w:val="000000" w:themeColor="text1"/>
          <w:szCs w:val="24"/>
          <w:u w:color="000000" w:themeColor="text1"/>
          <w:lang w:val="en-PH"/>
        </w:rPr>
        <w:noBreakHyphen/>
        <w:t xml:space="preserve">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w:t>
      </w:r>
      <w:r w:rsidRPr="007F1542">
        <w:rPr>
          <w:rFonts w:eastAsia="Calibri"/>
          <w:color w:val="000000" w:themeColor="text1"/>
          <w:szCs w:val="24"/>
          <w:u w:color="000000" w:themeColor="text1"/>
          <w:lang w:val="en-PH"/>
        </w:rPr>
        <w:lastRenderedPageBreak/>
        <w:t>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(4)</w:t>
      </w:r>
      <w:r w:rsidRPr="007F1542">
        <w:rPr>
          <w:rFonts w:eastAsia="Calibri"/>
          <w:color w:val="000000" w:themeColor="text1"/>
          <w:szCs w:val="24"/>
          <w:u w:color="000000" w:themeColor="text1"/>
          <w:lang w:val="en-PH"/>
        </w:rPr>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t>(D)(1)</w:t>
      </w:r>
      <w:r w:rsidRPr="007F1542">
        <w:rPr>
          <w:rFonts w:eastAsia="Calibri"/>
          <w:color w:val="000000" w:themeColor="text1"/>
          <w:szCs w:val="24"/>
          <w:u w:color="000000" w:themeColor="text1"/>
          <w:lang w:val="en-PH"/>
        </w:rPr>
        <w:tab/>
      </w:r>
      <w:r w:rsidRPr="007F1542">
        <w:rPr>
          <w:rFonts w:eastAsia="Calibri"/>
          <w:strike/>
          <w:color w:val="000000" w:themeColor="text1"/>
          <w:szCs w:val="24"/>
          <w:u w:color="000000" w:themeColor="text1"/>
          <w:lang w:val="en-PH"/>
        </w:rPr>
        <w:t>An</w:t>
      </w:r>
      <w:r w:rsidRPr="007F1542">
        <w:rPr>
          <w:rFonts w:eastAsia="Calibri"/>
          <w:color w:val="000000" w:themeColor="text1"/>
          <w:szCs w:val="24"/>
          <w:u w:color="000000" w:themeColor="text1"/>
          <w:lang w:val="en-PH"/>
        </w:rPr>
        <w:t xml:space="preserve"> </w:t>
      </w:r>
      <w:r w:rsidRPr="007F1542">
        <w:rPr>
          <w:rFonts w:eastAsia="Calibri"/>
          <w:color w:val="000000" w:themeColor="text1"/>
          <w:szCs w:val="24"/>
          <w:u w:val="single" w:color="000000" w:themeColor="text1"/>
          <w:lang w:val="en-PH"/>
        </w:rPr>
        <w:t>Each</w:t>
      </w:r>
      <w:r w:rsidRPr="007F1542">
        <w:rPr>
          <w:rFonts w:eastAsia="Calibri"/>
          <w:color w:val="000000" w:themeColor="text1"/>
          <w:szCs w:val="24"/>
          <w:u w:color="000000" w:themeColor="text1"/>
          <w:lang w:val="en-PH"/>
        </w:rPr>
        <w:t xml:space="preserve"> electrical utility </w:t>
      </w:r>
      <w:r w:rsidRPr="007F1542">
        <w:rPr>
          <w:rFonts w:eastAsia="Calibri"/>
          <w:color w:val="000000" w:themeColor="text1"/>
          <w:szCs w:val="24"/>
          <w:u w:val="single" w:color="000000" w:themeColor="text1"/>
          <w:lang w:val="en-PH"/>
        </w:rPr>
        <w:t>subject to subsection (A)(1)</w:t>
      </w:r>
      <w:r w:rsidRPr="007F1542">
        <w:rPr>
          <w:rFonts w:eastAsia="Calibri"/>
          <w:color w:val="000000" w:themeColor="text1"/>
          <w:szCs w:val="24"/>
          <w:u w:color="000000" w:themeColor="text1"/>
          <w:lang w:val="en-PH"/>
        </w:rPr>
        <w:t xml:space="preserve"> shall submit annual updates to its integrated resource plan to the commission. An annual update must include an update to the electric utility’s base planning assumptions relative to its most recently accepted integrated resource plan, including, but not limited to: energy and demand forecast, commodity fuel price inputs, renewable energy forecast, energy efficiency and demand</w:t>
      </w:r>
      <w:r w:rsidRPr="007F1542">
        <w:rPr>
          <w:rFonts w:eastAsia="Calibri"/>
          <w:color w:val="000000" w:themeColor="text1"/>
          <w:szCs w:val="24"/>
          <w:u w:color="000000" w:themeColor="text1"/>
          <w:lang w:val="en-PH"/>
        </w:rPr>
        <w:noBreakHyphen/>
        <w:t>side management forecasts, changes to projected retirement dates of existing units, along with other inputs the commission deems to be for the public interest. The electrical utility’s annual update must describe the impact of the updated base planning assumptions on the selected resource plan.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r>
      <w:r w:rsidRPr="007F1542">
        <w:rPr>
          <w:rFonts w:eastAsia="Calibri"/>
          <w:color w:val="000000" w:themeColor="text1"/>
          <w:szCs w:val="24"/>
          <w:u w:color="000000" w:themeColor="text1"/>
          <w:lang w:val="en-PH"/>
        </w:rPr>
        <w:tab/>
        <w:t>(2)</w:t>
      </w:r>
      <w:r w:rsidRPr="007F1542">
        <w:rPr>
          <w:rFonts w:eastAsia="Calibri"/>
          <w:color w:val="000000" w:themeColor="text1"/>
          <w:szCs w:val="24"/>
          <w:u w:color="000000" w:themeColor="text1"/>
          <w:lang w:val="en-PH"/>
        </w:rPr>
        <w:tab/>
        <w:t>The Office of Regulatory Staff shall review each electric utility’s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to make changes to the annual update that the commission determines to be in the public interest.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7F1542">
        <w:rPr>
          <w:rFonts w:eastAsia="Calibri"/>
          <w:color w:val="000000" w:themeColor="text1"/>
          <w:szCs w:val="24"/>
          <w:u w:color="000000" w:themeColor="text1"/>
          <w:lang w:val="en-PH"/>
        </w:rPr>
        <w:tab/>
        <w:t>(E)</w:t>
      </w:r>
      <w:r w:rsidRPr="007F1542">
        <w:rPr>
          <w:rFonts w:eastAsia="Calibri"/>
          <w:color w:val="000000" w:themeColor="text1"/>
          <w:szCs w:val="24"/>
          <w:u w:color="000000" w:themeColor="text1"/>
          <w:lang w:val="en-PH"/>
        </w:rPr>
        <w:tab/>
        <w:t>The commission is authorized to promulgate regulations to carry out the provisions of this section.”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p>
    <w:p w:rsidR="00556BE9" w:rsidRPr="007F1542" w:rsidRDefault="00EF394B"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t>9</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Section 58</w:t>
      </w:r>
      <w:r w:rsidR="00556BE9" w:rsidRPr="007F1542">
        <w:rPr>
          <w:rFonts w:eastAsia="Times New Roman"/>
          <w:color w:val="000000" w:themeColor="text1"/>
          <w:szCs w:val="24"/>
          <w:u w:color="000000" w:themeColor="text1"/>
        </w:rPr>
        <w:noBreakHyphen/>
        <w:t>3</w:t>
      </w:r>
      <w:r w:rsidR="00556BE9" w:rsidRPr="007F1542">
        <w:rPr>
          <w:rFonts w:eastAsia="Times New Roman"/>
          <w:color w:val="000000" w:themeColor="text1"/>
          <w:szCs w:val="24"/>
          <w:u w:color="000000" w:themeColor="text1"/>
        </w:rPr>
        <w:noBreakHyphen/>
        <w:t>530 of the 1976 Code of Laws is amended by adding the following numbered subsections to read: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“(16)</w:t>
      </w:r>
      <w:r w:rsidRPr="007F1542">
        <w:rPr>
          <w:rFonts w:eastAsia="Times New Roman"/>
          <w:color w:val="000000" w:themeColor="text1"/>
          <w:szCs w:val="24"/>
          <w:u w:color="000000" w:themeColor="text1"/>
        </w:rPr>
        <w:tab/>
        <w:t xml:space="preserve">to conduct an annual performance review of each member of the South Carolina Public Service Authority Board of Directors, which must be submitted to the General Assembly. Directors shall be entitled to submit documentation in advance of the annual review </w:t>
      </w:r>
      <w:r w:rsidRPr="007F1542">
        <w:rPr>
          <w:rFonts w:eastAsia="Times New Roman"/>
          <w:color w:val="000000" w:themeColor="text1"/>
          <w:szCs w:val="24"/>
          <w:u w:color="000000" w:themeColor="text1"/>
        </w:rPr>
        <w:lastRenderedPageBreak/>
        <w:t>regarding actions taken and expert opinions received. A draft of each director’s performance review must be submitted to the director, and the director must be allowed an opportunity to be heard before the review committee before the final draft of the performance review is submitted to the General Assembly. The final performance review must be made a part of the director’s record for consideration if the member is reappointed to the Board.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As part of the performance review, the review committee will provide a mechanism by which parties, including the Office of Regulatory Staff, who have an interest in the oversight of the South Carolina Public Service Authority by its board may submit a confidential survey evaluating the directors. At a minimum, the survey must include the following: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(a)</w:t>
      </w:r>
      <w:r w:rsidRPr="007F1542">
        <w:rPr>
          <w:rFonts w:eastAsia="Times New Roman"/>
          <w:color w:val="000000" w:themeColor="text1"/>
          <w:szCs w:val="24"/>
          <w:u w:color="000000" w:themeColor="text1"/>
        </w:rPr>
        <w:tab/>
        <w:t xml:space="preserve">knowledge and application of substantive utility issues;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(b)</w:t>
      </w:r>
      <w:r w:rsidRPr="007F1542">
        <w:rPr>
          <w:rFonts w:eastAsia="Times New Roman"/>
          <w:color w:val="000000" w:themeColor="text1"/>
          <w:szCs w:val="24"/>
          <w:u w:color="000000" w:themeColor="text1"/>
        </w:rPr>
        <w:tab/>
        <w:t>ability to perceive relevant issues;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(c)</w:t>
      </w:r>
      <w:r w:rsidRPr="007F1542">
        <w:rPr>
          <w:rFonts w:eastAsia="Times New Roman"/>
          <w:color w:val="000000" w:themeColor="text1"/>
          <w:szCs w:val="24"/>
          <w:u w:color="000000" w:themeColor="text1"/>
        </w:rPr>
        <w:tab/>
        <w:t>absence of influence by political considerations;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(d)</w:t>
      </w:r>
      <w:r w:rsidRPr="007F1542">
        <w:rPr>
          <w:rFonts w:eastAsia="Times New Roman"/>
          <w:color w:val="000000" w:themeColor="text1"/>
          <w:szCs w:val="24"/>
          <w:u w:color="000000" w:themeColor="text1"/>
        </w:rPr>
        <w:tab/>
        <w:t>temperament and demeanor in general, preparation for and attentiveness during meetings;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(17)</w:t>
      </w:r>
      <w:r w:rsidRPr="007F1542">
        <w:rPr>
          <w:rFonts w:eastAsia="Times New Roman"/>
          <w:color w:val="000000" w:themeColor="text1"/>
          <w:szCs w:val="24"/>
          <w:u w:color="000000" w:themeColor="text1"/>
        </w:rPr>
        <w:tab/>
        <w:t>to evaluate the actions of the South Carolina Public Service Authority Board, to the end that the members of the General Assembly may better judge whether these actions serve the best interests of the customers of the Public Service Authority, both retail and wholesale.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 xml:space="preserve">The Public Service Authority shall submit an annual report in which full information as to all of the acts of the board of directors shall be given, together with financial statements and full information as to the work of the Public Service Authority. The report shall include, but is not limited to, </w:t>
      </w:r>
      <w:r w:rsidRPr="007F1542">
        <w:rPr>
          <w:rFonts w:eastAsia="Times New Roman"/>
          <w:color w:val="000000" w:themeColor="text1"/>
          <w:szCs w:val="24"/>
          <w:u w:color="000000" w:themeColor="text1"/>
          <w:lang w:val="en-PH"/>
        </w:rPr>
        <w:t xml:space="preserve">(i) </w:t>
      </w:r>
      <w:r w:rsidRPr="007F1542">
        <w:rPr>
          <w:rFonts w:eastAsia="Times New Roman"/>
          <w:color w:val="000000" w:themeColor="text1"/>
          <w:szCs w:val="24"/>
          <w:u w:color="000000" w:themeColor="text1"/>
        </w:rPr>
        <w:t>a report from an independent consulting engineer every two years, (ii) an annual report demonstrating adherence to the resource planning principles established pursuant to Section 58</w:t>
      </w:r>
      <w:r w:rsidRPr="007F1542">
        <w:rPr>
          <w:rFonts w:eastAsia="Times New Roman"/>
          <w:color w:val="000000" w:themeColor="text1"/>
          <w:szCs w:val="24"/>
          <w:u w:color="000000" w:themeColor="text1"/>
        </w:rPr>
        <w:noBreakHyphen/>
        <w:t>37</w:t>
      </w:r>
      <w:r w:rsidRPr="007F1542">
        <w:rPr>
          <w:rFonts w:eastAsia="Times New Roman"/>
          <w:color w:val="000000" w:themeColor="text1"/>
          <w:szCs w:val="24"/>
          <w:u w:color="000000" w:themeColor="text1"/>
        </w:rPr>
        <w:noBreakHyphen/>
        <w:t>40 and the pricing principles established pursuant to 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710, and (iii) the annual report of its external auditor;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F1542">
        <w:rPr>
          <w:rFonts w:eastAsia="Times New Roman"/>
          <w:color w:val="000000" w:themeColor="text1"/>
          <w:szCs w:val="24"/>
          <w:u w:color="000000" w:themeColor="text1"/>
        </w:rPr>
        <w:tab/>
        <w:t>(18)</w:t>
      </w:r>
      <w:r w:rsidRPr="007F1542">
        <w:rPr>
          <w:rFonts w:eastAsia="Times New Roman"/>
          <w:color w:val="000000" w:themeColor="text1"/>
          <w:szCs w:val="24"/>
          <w:u w:color="000000" w:themeColor="text1"/>
        </w:rPr>
        <w:tab/>
        <w:t>to submit to the General Assembly, on an annual basis, the review committee’s evaluation of the performance of the South Carolina Public Service Authority Board. A proposed draft of the evaluation must be submitted to the board prior to submission to the General Assembly, and the board must be given an opportunity to be heard before the review committee prior to the completion of the evaluation and its submission to the General Assembly.”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7F1542" w:rsidRDefault="00EF394B"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t>10</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Section 58</w:t>
      </w:r>
      <w:r w:rsidR="00556BE9" w:rsidRPr="007F1542">
        <w:rPr>
          <w:rFonts w:eastAsia="Times New Roman"/>
          <w:color w:val="000000" w:themeColor="text1"/>
          <w:szCs w:val="24"/>
          <w:u w:color="000000" w:themeColor="text1"/>
        </w:rPr>
        <w:noBreakHyphen/>
        <w:t>31</w:t>
      </w:r>
      <w:r w:rsidR="00556BE9" w:rsidRPr="007F1542">
        <w:rPr>
          <w:rFonts w:eastAsia="Times New Roman"/>
          <w:color w:val="000000" w:themeColor="text1"/>
          <w:szCs w:val="24"/>
          <w:u w:color="000000" w:themeColor="text1"/>
        </w:rPr>
        <w:noBreakHyphen/>
        <w:t>55 of the 1976 Code of Laws is amended to read: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lastRenderedPageBreak/>
        <w:tab/>
        <w:t>“Section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55.</w:t>
      </w:r>
      <w:r w:rsidRPr="007F1542">
        <w:rPr>
          <w:rFonts w:eastAsia="Times New Roman"/>
          <w:color w:val="000000" w:themeColor="text1"/>
          <w:szCs w:val="24"/>
          <w:u w:color="000000" w:themeColor="text1"/>
        </w:rPr>
        <w:tab/>
        <w:t>(A)</w:t>
      </w:r>
      <w:r w:rsidRPr="007F1542">
        <w:rPr>
          <w:rFonts w:eastAsia="Times New Roman"/>
          <w:color w:val="000000" w:themeColor="text1"/>
          <w:szCs w:val="24"/>
          <w:u w:color="000000" w:themeColor="text1"/>
        </w:rPr>
        <w:tab/>
        <w:t>A director shall discharge his duties as a director, including his duties as a member of a committee: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(1)</w:t>
      </w:r>
      <w:r w:rsidRPr="007F1542">
        <w:rPr>
          <w:rFonts w:eastAsia="Times New Roman"/>
          <w:color w:val="000000" w:themeColor="text1"/>
          <w:szCs w:val="24"/>
          <w:u w:color="000000" w:themeColor="text1"/>
        </w:rPr>
        <w:tab/>
        <w:t>in good faith;</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(2)</w:t>
      </w:r>
      <w:r w:rsidRPr="007F1542">
        <w:rPr>
          <w:rFonts w:eastAsia="Times New Roman"/>
          <w:color w:val="000000" w:themeColor="text1"/>
          <w:szCs w:val="24"/>
          <w:u w:color="000000" w:themeColor="text1"/>
        </w:rPr>
        <w:tab/>
        <w:t>with the care an ordinarily prudent person in a like position would exercise under similar circumstances;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(3)</w:t>
      </w:r>
      <w:r w:rsidRPr="007F1542">
        <w:rPr>
          <w:rFonts w:eastAsia="Times New Roman"/>
          <w:color w:val="000000" w:themeColor="text1"/>
          <w:szCs w:val="24"/>
          <w:u w:color="000000" w:themeColor="text1"/>
        </w:rPr>
        <w:tab/>
        <w:t>in a manner he reasonably believes to be in the best interests of the Public Service Authority. As used in this chapter, ‘best interests’ means a balancing of the following: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(a)</w:t>
      </w:r>
      <w:r w:rsidRPr="007F1542">
        <w:rPr>
          <w:rFonts w:eastAsia="Times New Roman"/>
          <w:color w:val="000000" w:themeColor="text1"/>
          <w:szCs w:val="24"/>
          <w:u w:color="000000" w:themeColor="text1"/>
        </w:rPr>
        <w:tab/>
        <w:t>preservation of the financial integrity of the Public Service Authority and its ongoing operation</w:t>
      </w:r>
      <w:r w:rsidRPr="007F1542">
        <w:rPr>
          <w:rFonts w:eastAsia="Times New Roman"/>
          <w:color w:val="000000" w:themeColor="text1"/>
          <w:szCs w:val="24"/>
          <w:u w:val="single" w:color="000000" w:themeColor="text1"/>
        </w:rPr>
        <w:t>s</w:t>
      </w:r>
      <w:r w:rsidRPr="007F1542">
        <w:rPr>
          <w:rFonts w:eastAsia="Times New Roman"/>
          <w:color w:val="000000" w:themeColor="text1"/>
          <w:szCs w:val="24"/>
          <w:u w:color="000000" w:themeColor="text1"/>
        </w:rPr>
        <w:t xml:space="preserve"> </w:t>
      </w:r>
      <w:r w:rsidRPr="007F1542">
        <w:rPr>
          <w:rFonts w:eastAsia="Times New Roman"/>
          <w:strike/>
          <w:color w:val="000000" w:themeColor="text1"/>
          <w:szCs w:val="24"/>
          <w:u w:color="000000" w:themeColor="text1"/>
        </w:rPr>
        <w:t>of generating, transmitting, and distributing electricity to wholesale and retail customers on a reliable, adequate, efficient, and safe basis, at just and reasonable rates, regardless of the class of customer</w:t>
      </w:r>
      <w:r w:rsidRPr="007F1542">
        <w:rPr>
          <w:rFonts w:eastAsia="Times New Roman"/>
          <w:color w:val="000000" w:themeColor="text1"/>
          <w:szCs w:val="24"/>
          <w:u w:color="000000" w:themeColor="text1"/>
        </w:rPr>
        <w: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(b)</w:t>
      </w:r>
      <w:r w:rsidRPr="007F1542">
        <w:rPr>
          <w:rFonts w:eastAsia="Times New Roman"/>
          <w:color w:val="000000" w:themeColor="text1"/>
          <w:szCs w:val="24"/>
          <w:u w:color="000000" w:themeColor="text1"/>
        </w:rPr>
        <w:tab/>
      </w:r>
      <w:r w:rsidRPr="007F1542">
        <w:rPr>
          <w:rFonts w:eastAsia="Times New Roman"/>
          <w:color w:val="000000" w:themeColor="text1"/>
          <w:szCs w:val="24"/>
          <w:u w:val="single" w:color="000000" w:themeColor="text1"/>
        </w:rPr>
        <w:t>the interest of the Public Service Authority’s residential, commercial and industrial retail customers and those wholesale customers served pursuant to contractual arrangements but excluding joint action agencies and those entities located outside the State, in reliable, adequate, efficient, and safe service, at just and reasonable rates, regardless of customer class;</w:t>
      </w:r>
    </w:p>
    <w:p w:rsidR="00907C34"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rPr>
        <w:tab/>
      </w:r>
      <w:r w:rsidRPr="007F1542">
        <w:rPr>
          <w:rFonts w:eastAsia="Times New Roman"/>
          <w:color w:val="000000" w:themeColor="text1"/>
          <w:szCs w:val="24"/>
        </w:rPr>
        <w:tab/>
      </w:r>
      <w:r w:rsidRPr="007F1542">
        <w:rPr>
          <w:rFonts w:eastAsia="Times New Roman"/>
          <w:color w:val="000000" w:themeColor="text1"/>
          <w:szCs w:val="24"/>
        </w:rPr>
        <w:tab/>
      </w:r>
      <w:r w:rsidRPr="007F1542">
        <w:rPr>
          <w:rFonts w:eastAsia="Times New Roman"/>
          <w:color w:val="000000" w:themeColor="text1"/>
          <w:szCs w:val="24"/>
          <w:u w:val="single" w:color="000000" w:themeColor="text1"/>
        </w:rPr>
        <w:t>(c)</w:t>
      </w:r>
      <w:r w:rsidRPr="007F1542">
        <w:rPr>
          <w:rFonts w:eastAsia="Times New Roman"/>
          <w:color w:val="000000" w:themeColor="text1"/>
          <w:szCs w:val="24"/>
        </w:rPr>
        <w:tab/>
      </w:r>
      <w:r w:rsidRPr="007F1542">
        <w:rPr>
          <w:rFonts w:eastAsia="Times New Roman"/>
          <w:color w:val="000000" w:themeColor="text1"/>
          <w:szCs w:val="24"/>
          <w:u w:val="single" w:color="000000" w:themeColor="text1"/>
        </w:rPr>
        <w:t>maintenance, preservation and keeping of the Public Service Authority’s properties and all additions and betterments thereto and extension thereof and every part and parcel in thereof, in good repair, working order and condition;</w:t>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p>
    <w:p w:rsidR="00556BE9" w:rsidRPr="007F1542" w:rsidRDefault="00907C34"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00556BE9" w:rsidRPr="007F1542">
        <w:rPr>
          <w:rFonts w:eastAsia="Times New Roman"/>
          <w:strike/>
          <w:color w:val="000000" w:themeColor="text1"/>
          <w:szCs w:val="24"/>
          <w:u w:color="000000" w:themeColor="text1"/>
        </w:rPr>
        <w:t>(b)</w:t>
      </w:r>
      <w:r w:rsidR="00556BE9" w:rsidRPr="007F1542">
        <w:rPr>
          <w:rFonts w:eastAsia="Times New Roman"/>
          <w:color w:val="000000" w:themeColor="text1"/>
          <w:szCs w:val="24"/>
          <w:u w:val="single" w:color="000000" w:themeColor="text1"/>
        </w:rPr>
        <w:t>(d)</w:t>
      </w:r>
      <w:r w:rsidR="00556BE9" w:rsidRPr="007F1542">
        <w:rPr>
          <w:rFonts w:eastAsia="Times New Roman"/>
          <w:color w:val="000000" w:themeColor="text1"/>
          <w:szCs w:val="24"/>
          <w:u w:color="000000" w:themeColor="text1"/>
        </w:rPr>
        <w:tab/>
      </w:r>
      <w:r w:rsidR="00556BE9" w:rsidRPr="007F1542">
        <w:rPr>
          <w:rFonts w:eastAsia="Times New Roman"/>
          <w:color w:val="000000" w:themeColor="text1"/>
          <w:szCs w:val="24"/>
          <w:u w:val="single" w:color="000000" w:themeColor="text1"/>
        </w:rPr>
        <w:t xml:space="preserve">the support of, </w:t>
      </w:r>
      <w:r w:rsidR="00556BE9" w:rsidRPr="007F1542">
        <w:rPr>
          <w:rFonts w:eastAsia="Times New Roman"/>
          <w:color w:val="000000" w:themeColor="text1"/>
          <w:szCs w:val="24"/>
          <w:u w:color="000000" w:themeColor="text1"/>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00556BE9" w:rsidRPr="007F1542">
        <w:rPr>
          <w:rFonts w:eastAsia="Times New Roman"/>
          <w:color w:val="000000" w:themeColor="text1"/>
          <w:szCs w:val="24"/>
          <w:u w:val="single" w:color="000000" w:themeColor="text1"/>
        </w:rPr>
        <w:t>, provided the remaining items of this subsection have been met</w:t>
      </w:r>
      <w:r w:rsidR="00556BE9" w:rsidRPr="007F1542">
        <w:rPr>
          <w:rFonts w:eastAsia="Times New Roman"/>
          <w:color w:val="000000" w:themeColor="text1"/>
          <w:szCs w:val="24"/>
          <w:u w:color="000000" w:themeColor="text1"/>
        </w:rPr>
        <w:t>;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r>
      <w:r w:rsidRPr="007F1542">
        <w:rPr>
          <w:rFonts w:eastAsia="Times New Roman"/>
          <w:strike/>
          <w:color w:val="000000" w:themeColor="text1"/>
          <w:szCs w:val="24"/>
          <w:u w:color="000000" w:themeColor="text1"/>
        </w:rPr>
        <w:t>(c)</w:t>
      </w:r>
      <w:r w:rsidRPr="007F1542">
        <w:rPr>
          <w:rFonts w:eastAsia="Times New Roman"/>
          <w:color w:val="000000" w:themeColor="text1"/>
          <w:szCs w:val="24"/>
          <w:u w:val="single" w:color="000000" w:themeColor="text1"/>
        </w:rPr>
        <w:t>(e)</w:t>
      </w:r>
      <w:r w:rsidRPr="007F1542">
        <w:rPr>
          <w:rFonts w:eastAsia="Times New Roman"/>
          <w:color w:val="000000" w:themeColor="text1"/>
          <w:szCs w:val="24"/>
          <w:u w:color="000000" w:themeColor="text1"/>
        </w:rPr>
        <w:tab/>
        <w:t>subject to the limitations of 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30(B) and item (A)(3)(a) of this section, exercise of the powers of the authority set forth in 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30 in accordance with good business practices and the requirements of applicable licenses, laws, and regulations.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(B)</w:t>
      </w:r>
      <w:r w:rsidRPr="007F1542">
        <w:rPr>
          <w:rFonts w:eastAsia="Times New Roman"/>
          <w:color w:val="000000" w:themeColor="text1"/>
          <w:szCs w:val="24"/>
          <w:u w:color="000000" w:themeColor="text1"/>
        </w:rPr>
        <w:tab/>
        <w:t>In discharging his duties, a director is entitled to rely on information, opinions, reports, or statements, including financial statements and other financial data, if prepared or presented by: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(1)</w:t>
      </w:r>
      <w:r w:rsidRPr="007F1542">
        <w:rPr>
          <w:rFonts w:eastAsia="Times New Roman"/>
          <w:color w:val="000000" w:themeColor="text1"/>
          <w:szCs w:val="24"/>
          <w:u w:color="000000" w:themeColor="text1"/>
        </w:rPr>
        <w:tab/>
        <w:t>one or more officers or employees of the Public Service Authority whom the director reasonably believes to be reliable and competent in the matters presented;</w:t>
      </w:r>
      <w:r w:rsidRPr="007F1542">
        <w:rPr>
          <w:rFonts w:eastAsia="Times New Roman"/>
          <w:color w:val="000000" w:themeColor="text1"/>
          <w:szCs w:val="24"/>
          <w:u w:color="000000" w:themeColor="text1"/>
        </w:rPr>
        <w:tab/>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(2)</w:t>
      </w:r>
      <w:r w:rsidRPr="007F1542">
        <w:rPr>
          <w:rFonts w:eastAsia="Times New Roman"/>
          <w:color w:val="000000" w:themeColor="text1"/>
          <w:szCs w:val="24"/>
          <w:u w:color="000000" w:themeColor="text1"/>
        </w:rPr>
        <w:tab/>
        <w:t>legal counsel, public accountants, or other persons as to matters the director reasonably believes are within the person’s professional or expert competence; or</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lastRenderedPageBreak/>
        <w:tab/>
      </w:r>
      <w:r w:rsidRPr="007F1542">
        <w:rPr>
          <w:rFonts w:eastAsia="Times New Roman"/>
          <w:color w:val="000000" w:themeColor="text1"/>
          <w:szCs w:val="24"/>
          <w:u w:color="000000" w:themeColor="text1"/>
        </w:rPr>
        <w:tab/>
        <w:t>(3)</w:t>
      </w:r>
      <w:r w:rsidRPr="007F1542">
        <w:rPr>
          <w:rFonts w:eastAsia="Times New Roman"/>
          <w:color w:val="000000" w:themeColor="text1"/>
          <w:szCs w:val="24"/>
          <w:u w:color="000000" w:themeColor="text1"/>
        </w:rPr>
        <w:tab/>
        <w:t>a committee of the board of directors of which he is not a member if the director reasonably believes the committee merits confidence.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(C)</w:t>
      </w:r>
      <w:r w:rsidRPr="007F1542">
        <w:rPr>
          <w:rFonts w:eastAsia="Times New Roman"/>
          <w:color w:val="000000" w:themeColor="text1"/>
          <w:szCs w:val="24"/>
          <w:u w:color="000000" w:themeColor="text1"/>
        </w:rPr>
        <w:tab/>
        <w:t>A director is not acting in good faith if he has knowledge concerning the matter in question that makes reliance otherwise permitted by subsection (B) unwarranted.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(D)</w:t>
      </w:r>
      <w:r w:rsidRPr="007F1542">
        <w:rPr>
          <w:rFonts w:eastAsia="Times New Roman"/>
          <w:color w:val="000000" w:themeColor="text1"/>
          <w:szCs w:val="24"/>
          <w:u w:color="000000" w:themeColor="text1"/>
        </w:rPr>
        <w:tab/>
        <w:t>A director is not liable for any action taken as a director, or any failure to take any action, if he performed the duties of his office in compliance with this section.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542">
        <w:rPr>
          <w:rFonts w:eastAsia="Times New Roman"/>
          <w:color w:val="000000" w:themeColor="text1"/>
          <w:szCs w:val="24"/>
          <w:u w:color="000000" w:themeColor="text1"/>
        </w:rPr>
        <w:tab/>
        <w:t>(E)</w:t>
      </w:r>
      <w:r w:rsidRPr="007F1542">
        <w:rPr>
          <w:rFonts w:eastAsia="Times New Roman"/>
          <w:color w:val="000000" w:themeColor="text1"/>
          <w:szCs w:val="24"/>
          <w:u w:color="000000" w:themeColor="text1"/>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7F1542" w:rsidRDefault="00EF394B"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t>11</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Section 1</w:t>
      </w:r>
      <w:r w:rsidR="00556BE9" w:rsidRPr="007F1542">
        <w:rPr>
          <w:rFonts w:eastAsia="Times New Roman"/>
          <w:color w:val="000000" w:themeColor="text1"/>
          <w:szCs w:val="24"/>
          <w:u w:color="000000" w:themeColor="text1"/>
        </w:rPr>
        <w:noBreakHyphen/>
        <w:t>3</w:t>
      </w:r>
      <w:r w:rsidR="00556BE9" w:rsidRPr="007F1542">
        <w:rPr>
          <w:rFonts w:eastAsia="Times New Roman"/>
          <w:color w:val="000000" w:themeColor="text1"/>
          <w:szCs w:val="24"/>
          <w:u w:color="000000" w:themeColor="text1"/>
        </w:rPr>
        <w:noBreakHyphen/>
        <w:t xml:space="preserve">240(C)(1)(m) of the 1976 Code of Laws is amended to read: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Times New Roman"/>
          <w:color w:val="000000" w:themeColor="text1"/>
          <w:szCs w:val="24"/>
          <w:u w:color="000000" w:themeColor="text1"/>
        </w:rPr>
        <w:tab/>
        <w:t>“(m)</w:t>
      </w:r>
      <w:r w:rsidRPr="007F1542">
        <w:rPr>
          <w:rFonts w:eastAsia="Times New Roman"/>
          <w:color w:val="000000" w:themeColor="text1"/>
          <w:szCs w:val="24"/>
          <w:u w:color="000000" w:themeColor="text1"/>
        </w:rPr>
        <w:tab/>
        <w:t>Directors of the South Carolina Public Service Authority appointed pursuant to 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20. A director of the South Carolina Public Service Authority also may be removed for his breach of any duty arising under 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55 or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 xml:space="preserve">56. </w:t>
      </w:r>
      <w:r w:rsidRPr="007F1542">
        <w:rPr>
          <w:rFonts w:eastAsia="Times New Roman"/>
          <w:color w:val="000000" w:themeColor="text1"/>
          <w:szCs w:val="24"/>
          <w:u w:val="single" w:color="000000" w:themeColor="text1"/>
        </w:rPr>
        <w:t xml:space="preserve">The Governor is also allowed, but not required, to remove a director upon the recommendation of the State Regulation of Public Utilities Review Committee by an affirmative vote of eight of its members upon good cause shown.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20(A), must be considered to be an irreparable injury for which no adequate remedy at law exists;”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S</w:t>
      </w:r>
      <w:r w:rsidR="00EF394B" w:rsidRPr="007F1542">
        <w:rPr>
          <w:rFonts w:eastAsia="Times New Roman"/>
          <w:color w:val="000000" w:themeColor="text1"/>
          <w:szCs w:val="24"/>
          <w:u w:color="000000" w:themeColor="text1"/>
        </w:rPr>
        <w:t>ECTION</w:t>
      </w:r>
      <w:r w:rsidR="00EF394B" w:rsidRPr="007F1542">
        <w:rPr>
          <w:rFonts w:eastAsia="Times New Roman"/>
          <w:color w:val="000000" w:themeColor="text1"/>
          <w:szCs w:val="24"/>
          <w:u w:color="000000" w:themeColor="text1"/>
        </w:rPr>
        <w:tab/>
        <w:t>12</w:t>
      </w:r>
      <w:r w:rsidRPr="007F1542">
        <w:rPr>
          <w:rFonts w:eastAsia="Times New Roman"/>
          <w:color w:val="000000" w:themeColor="text1"/>
          <w:szCs w:val="24"/>
          <w:u w:color="000000" w:themeColor="text1"/>
        </w:rPr>
        <w:t>.</w:t>
      </w:r>
      <w:r w:rsidRPr="007F1542">
        <w:rPr>
          <w:rFonts w:eastAsia="Times New Roman"/>
          <w:color w:val="000000" w:themeColor="text1"/>
          <w:szCs w:val="24"/>
          <w:u w:color="000000" w:themeColor="text1"/>
        </w:rPr>
        <w:tab/>
        <w:t>Chapter 31, Title 58 of the 1976 Code is amended by adding:</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227.</w:t>
      </w:r>
      <w:r w:rsidRPr="007F1542">
        <w:rPr>
          <w:rFonts w:eastAsia="Times New Roman"/>
          <w:color w:val="000000" w:themeColor="text1"/>
          <w:szCs w:val="24"/>
          <w:u w:color="000000" w:themeColor="text1"/>
        </w:rPr>
        <w:tab/>
        <w:t>(A)</w:t>
      </w:r>
      <w:r w:rsidRPr="007F1542">
        <w:rPr>
          <w:rFonts w:eastAsia="Times New Roman"/>
          <w:color w:val="000000" w:themeColor="text1"/>
          <w:szCs w:val="24"/>
          <w:u w:color="000000" w:themeColor="text1"/>
        </w:rPr>
        <w:tab/>
        <w:t>The Public Service Authority shall procure renewable energy resources subject to the following requirements: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(1)</w:t>
      </w:r>
      <w:r w:rsidRPr="007F1542">
        <w:rPr>
          <w:rFonts w:eastAsia="Times New Roman"/>
          <w:color w:val="000000" w:themeColor="text1"/>
          <w:szCs w:val="24"/>
          <w:u w:color="000000" w:themeColor="text1"/>
        </w:rPr>
        <w:tab/>
        <w:t xml:space="preserve">Renewable energy resources procured by the Public Service Authority shall be procured via a competitive solicitation </w:t>
      </w:r>
      <w:r w:rsidRPr="007F1542">
        <w:rPr>
          <w:rFonts w:eastAsia="Times New Roman"/>
          <w:color w:val="000000" w:themeColor="text1"/>
          <w:szCs w:val="24"/>
          <w:u w:color="000000" w:themeColor="text1"/>
        </w:rPr>
        <w:lastRenderedPageBreak/>
        <w:t>process open to all independent market participants that meet minimum eligibility requirements.</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(2)</w:t>
      </w:r>
      <w:r w:rsidRPr="007F1542">
        <w:rPr>
          <w:rFonts w:eastAsia="Times New Roman"/>
          <w:color w:val="000000" w:themeColor="text1"/>
          <w:szCs w:val="24"/>
          <w:u w:color="000000" w:themeColor="text1"/>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(3)</w:t>
      </w:r>
      <w:r w:rsidRPr="007F1542">
        <w:rPr>
          <w:rFonts w:eastAsia="Times New Roman"/>
          <w:color w:val="000000" w:themeColor="text1"/>
          <w:szCs w:val="24"/>
          <w:u w:color="000000" w:themeColor="text1"/>
        </w:rPr>
        <w:tab/>
        <w:t>Renewable energy facilities eligible to participate in a competitive procurement are those that have a valid interconnection request on file and that use renewable energy resources identified in Section 58</w:t>
      </w:r>
      <w:r w:rsidRPr="007F1542">
        <w:rPr>
          <w:rFonts w:eastAsia="Times New Roman"/>
          <w:color w:val="000000" w:themeColor="text1"/>
          <w:szCs w:val="24"/>
          <w:u w:color="000000" w:themeColor="text1"/>
        </w:rPr>
        <w:noBreakHyphen/>
        <w:t>39</w:t>
      </w:r>
      <w:r w:rsidRPr="007F1542">
        <w:rPr>
          <w:rFonts w:eastAsia="Times New Roman"/>
          <w:color w:val="000000" w:themeColor="text1"/>
          <w:szCs w:val="24"/>
          <w:u w:color="000000" w:themeColor="text1"/>
        </w:rPr>
        <w:noBreakHyphen/>
        <w:t>120(F) and may include battery storage devices charged exclusively by renewable energy.</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(B)</w:t>
      </w:r>
      <w:r w:rsidRPr="007F1542">
        <w:rPr>
          <w:rFonts w:eastAsia="Times New Roman"/>
          <w:color w:val="000000" w:themeColor="text1"/>
          <w:szCs w:val="24"/>
          <w:u w:color="000000" w:themeColor="text1"/>
        </w:rPr>
        <w:tab/>
        <w:t>The Public Service Authority shall make publicly available at least forty</w:t>
      </w:r>
      <w:r w:rsidRPr="007F1542">
        <w:rPr>
          <w:rFonts w:eastAsia="Times New Roman"/>
          <w:color w:val="000000" w:themeColor="text1"/>
          <w:szCs w:val="24"/>
          <w:u w:color="000000" w:themeColor="text1"/>
        </w:rPr>
        <w:noBreakHyphen/>
        <w:t>five days prior to each competitive solicitation: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(1)</w:t>
      </w:r>
      <w:r w:rsidRPr="007F1542">
        <w:rPr>
          <w:rFonts w:eastAsia="Times New Roman"/>
          <w:color w:val="000000" w:themeColor="text1"/>
          <w:szCs w:val="24"/>
          <w:u w:color="000000" w:themeColor="text1"/>
        </w:rPr>
        <w:tab/>
        <w:t>A pro forma contract to inform market participants of the procurement terms and conditions. The pro forma contract will (i) include standardized and commercially reasonable requirements for contract performance security consistent with market standards; (ii) define limits and compensation for resource dispatch and curtailments that limit uncompensated curtailment to a specified portion of estimated annual output.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(2)</w:t>
      </w:r>
      <w:r w:rsidRPr="007F1542">
        <w:rPr>
          <w:rFonts w:eastAsia="Times New Roman"/>
          <w:color w:val="000000" w:themeColor="text1"/>
          <w:szCs w:val="24"/>
          <w:u w:color="000000" w:themeColor="text1"/>
        </w:rPr>
        <w:tab/>
        <w:t>A bid evaluation methodology that ensures all bids are treated equitably, including price and non</w:t>
      </w:r>
      <w:r w:rsidRPr="007F1542">
        <w:rPr>
          <w:rFonts w:eastAsia="Times New Roman"/>
          <w:color w:val="000000" w:themeColor="text1"/>
          <w:szCs w:val="24"/>
          <w:u w:color="000000" w:themeColor="text1"/>
        </w:rPr>
        <w:noBreakHyphen/>
        <w:t>price evaluation criteria. Non</w:t>
      </w:r>
      <w:r w:rsidRPr="007F1542">
        <w:rPr>
          <w:rFonts w:eastAsia="Times New Roman"/>
          <w:color w:val="000000" w:themeColor="text1"/>
          <w:szCs w:val="24"/>
          <w:u w:color="000000" w:themeColor="text1"/>
        </w:rPr>
        <w:noBreakHyphen/>
        <w:t>price criteria will include, at minimum, consideration of diversity in resource size and geographic location.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(3)</w:t>
      </w:r>
      <w:r w:rsidRPr="007F1542">
        <w:rPr>
          <w:rFonts w:eastAsia="Times New Roman"/>
          <w:color w:val="000000" w:themeColor="text1"/>
          <w:szCs w:val="24"/>
          <w:u w:color="000000" w:themeColor="text1"/>
        </w:rPr>
        <w:tab/>
        <w:t>Interconnection requirements and study methodology, including how bids without existing interconnection studies will be treated for purposes of evaluation.</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t>(C)</w:t>
      </w:r>
      <w:r w:rsidRPr="007F1542">
        <w:rPr>
          <w:rFonts w:eastAsia="Times New Roman"/>
          <w:color w:val="000000" w:themeColor="text1"/>
          <w:szCs w:val="24"/>
          <w:u w:color="000000" w:themeColor="text1"/>
        </w:rPr>
        <w:tab/>
        <w:t xml:space="preserve">After bids are submitted and evaluated, winning bids will be selected based upon the published evaluation methodology.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snapToGrid w:val="0"/>
          <w:color w:val="000000" w:themeColor="text1"/>
          <w:szCs w:val="20"/>
        </w:rPr>
        <w:t>SECTION</w:t>
      </w:r>
      <w:r w:rsidRPr="007F1542">
        <w:rPr>
          <w:rFonts w:eastAsia="Times New Roman"/>
          <w:snapToGrid w:val="0"/>
          <w:color w:val="000000" w:themeColor="text1"/>
          <w:szCs w:val="20"/>
        </w:rPr>
        <w:tab/>
        <w:t>13.</w:t>
      </w:r>
      <w:r w:rsidRPr="007F1542">
        <w:rPr>
          <w:rFonts w:eastAsia="Times New Roman"/>
          <w:color w:val="000000" w:themeColor="text1"/>
          <w:szCs w:val="20"/>
          <w:u w:color="000000" w:themeColor="text1"/>
        </w:rPr>
        <w:tab/>
        <w:t>Article 1, Chapter 31, Title 58 of the 1976 Code is amended by adding:</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t>“Section 58</w:t>
      </w:r>
      <w:r w:rsidRPr="007F1542">
        <w:rPr>
          <w:rFonts w:eastAsia="Times New Roman"/>
          <w:color w:val="000000" w:themeColor="text1"/>
          <w:szCs w:val="20"/>
          <w:u w:color="000000" w:themeColor="text1"/>
        </w:rPr>
        <w:noBreakHyphen/>
        <w:t>31</w:t>
      </w:r>
      <w:r w:rsidRPr="007F1542">
        <w:rPr>
          <w:rFonts w:eastAsia="Times New Roman"/>
          <w:color w:val="000000" w:themeColor="text1"/>
          <w:szCs w:val="20"/>
          <w:u w:color="000000" w:themeColor="text1"/>
        </w:rPr>
        <w:noBreakHyphen/>
        <w:t>240.</w:t>
      </w:r>
      <w:r w:rsidRPr="007F1542">
        <w:rPr>
          <w:rFonts w:eastAsia="Times New Roman"/>
          <w:color w:val="000000" w:themeColor="text1"/>
          <w:szCs w:val="20"/>
          <w:u w:color="000000" w:themeColor="text1"/>
        </w:rPr>
        <w:tab/>
        <w:t>(A)</w:t>
      </w:r>
      <w:r w:rsidRPr="007F1542">
        <w:rPr>
          <w:rFonts w:eastAsia="Times New Roman"/>
          <w:color w:val="000000" w:themeColor="text1"/>
          <w:szCs w:val="20"/>
          <w:u w:color="000000" w:themeColor="text1"/>
        </w:rPr>
        <w:tab/>
        <w:t>For purposes of this section:</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(1)</w:t>
      </w:r>
      <w:r w:rsidRPr="007F1542">
        <w:rPr>
          <w:rFonts w:eastAsia="Times New Roman"/>
          <w:color w:val="000000" w:themeColor="text1"/>
          <w:szCs w:val="20"/>
          <w:u w:color="000000" w:themeColor="text1"/>
        </w:rPr>
        <w:tab/>
        <w:t>‘SFAA’ means the State Fiscal Accountability Authority.</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lastRenderedPageBreak/>
        <w:tab/>
      </w:r>
      <w:r w:rsidRPr="007F1542">
        <w:rPr>
          <w:rFonts w:eastAsia="Times New Roman"/>
          <w:color w:val="000000" w:themeColor="text1"/>
          <w:szCs w:val="20"/>
          <w:u w:color="000000" w:themeColor="text1"/>
        </w:rPr>
        <w:tab/>
        <w:t>(2)</w:t>
      </w:r>
      <w:r w:rsidRPr="007F1542">
        <w:rPr>
          <w:rFonts w:eastAsia="Times New Roman"/>
          <w:color w:val="000000" w:themeColor="text1"/>
          <w:szCs w:val="20"/>
          <w:u w:color="000000" w:themeColor="text1"/>
        </w:rPr>
        <w:tab/>
        <w:t>‘Committee’ or ‘committees’ means the Senate Finance Committee and the House Ways and Means Committee.</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t>(B)</w:t>
      </w:r>
      <w:r w:rsidRPr="007F1542">
        <w:rPr>
          <w:rFonts w:eastAsia="Times New Roman"/>
          <w:color w:val="000000" w:themeColor="text1"/>
          <w:szCs w:val="20"/>
          <w:u w:color="000000" w:themeColor="text1"/>
        </w:rPr>
        <w:tab/>
        <w:t>The Senate Finance Committee and the House Ways and Means Committee shall review and provide fiscal accountability of the Public Service Authority (Authority) no less frequently than every two years. The committees shall provide a report with findings to the Senate Legislative Oversight Committee and the House Legislative Oversight Committee.</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t>(C)(1)</w:t>
      </w:r>
      <w:r w:rsidRPr="007F1542">
        <w:rPr>
          <w:rFonts w:eastAsia="Times New Roman"/>
          <w:color w:val="000000" w:themeColor="text1"/>
          <w:szCs w:val="20"/>
          <w:u w:color="000000" w:themeColor="text1"/>
        </w:rPr>
        <w:tab/>
        <w:t>Every two years, or as often as requested by either committee, the Authority must submit to the committees:</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(a)</w:t>
      </w:r>
      <w:r w:rsidRPr="007F1542">
        <w:rPr>
          <w:rFonts w:eastAsia="Times New Roman"/>
          <w:color w:val="000000" w:themeColor="text1"/>
          <w:szCs w:val="20"/>
          <w:u w:color="000000" w:themeColor="text1"/>
        </w:rPr>
        <w:tab/>
        <w:t>annual audited financial statements;</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(b)</w:t>
      </w:r>
      <w:r w:rsidRPr="007F1542">
        <w:rPr>
          <w:rFonts w:eastAsia="Times New Roman"/>
          <w:color w:val="000000" w:themeColor="text1"/>
          <w:szCs w:val="20"/>
          <w:u w:color="000000" w:themeColor="text1"/>
        </w:rPr>
        <w:tab/>
        <w:t>projected and actual annual revenue;</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(c)</w:t>
      </w:r>
      <w:r w:rsidRPr="007F1542">
        <w:rPr>
          <w:rFonts w:eastAsia="Times New Roman"/>
          <w:color w:val="000000" w:themeColor="text1"/>
          <w:szCs w:val="20"/>
          <w:u w:color="000000" w:themeColor="text1"/>
        </w:rPr>
        <w:tab/>
        <w:t>actual annual expenditures;</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(d)</w:t>
      </w:r>
      <w:r w:rsidRPr="007F1542">
        <w:rPr>
          <w:rFonts w:eastAsia="Times New Roman"/>
          <w:color w:val="000000" w:themeColor="text1"/>
          <w:szCs w:val="20"/>
          <w:u w:color="000000" w:themeColor="text1"/>
        </w:rPr>
        <w:tab/>
        <w:t>any debt issuances in the previous five years, whether short</w:t>
      </w:r>
      <w:r w:rsidRPr="007F1542">
        <w:rPr>
          <w:rFonts w:eastAsia="Times New Roman"/>
          <w:color w:val="000000" w:themeColor="text1"/>
          <w:szCs w:val="20"/>
          <w:u w:color="000000" w:themeColor="text1"/>
        </w:rPr>
        <w:noBreakHyphen/>
        <w:t>term or long</w:t>
      </w:r>
      <w:r w:rsidRPr="007F1542">
        <w:rPr>
          <w:rFonts w:eastAsia="Times New Roman"/>
          <w:color w:val="000000" w:themeColor="text1"/>
          <w:szCs w:val="20"/>
          <w:u w:color="000000" w:themeColor="text1"/>
        </w:rPr>
        <w:noBreakHyphen/>
        <w:t>term;</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(e)</w:t>
      </w:r>
      <w:r w:rsidRPr="007F1542">
        <w:rPr>
          <w:rFonts w:eastAsia="Times New Roman"/>
          <w:color w:val="000000" w:themeColor="text1"/>
          <w:szCs w:val="20"/>
          <w:u w:color="000000" w:themeColor="text1"/>
        </w:rPr>
        <w:tab/>
        <w:t>percent of annual revenues utilized for administration.  For purposes of this item, ‘administration’ includes executive level employees compensation and other operating costs;</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(f)</w:t>
      </w:r>
      <w:r w:rsidRPr="007F1542">
        <w:rPr>
          <w:rFonts w:eastAsia="Times New Roman"/>
          <w:color w:val="000000" w:themeColor="text1"/>
          <w:szCs w:val="20"/>
          <w:u w:color="000000" w:themeColor="text1"/>
        </w:rPr>
        <w:tab/>
        <w:t>organizational flow chart displaying the position titles and name of executive</w:t>
      </w:r>
      <w:r w:rsidRPr="007F1542">
        <w:rPr>
          <w:rFonts w:eastAsia="Times New Roman"/>
          <w:color w:val="000000" w:themeColor="text1"/>
          <w:szCs w:val="20"/>
          <w:u w:color="000000" w:themeColor="text1"/>
        </w:rPr>
        <w:noBreakHyphen/>
        <w:t>level employees;</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(g)</w:t>
      </w:r>
      <w:r w:rsidRPr="007F1542">
        <w:rPr>
          <w:rFonts w:eastAsia="Times New Roman"/>
          <w:color w:val="000000" w:themeColor="text1"/>
          <w:szCs w:val="20"/>
          <w:u w:color="000000" w:themeColor="text1"/>
        </w:rPr>
        <w:tab/>
        <w:t>major components of any long</w:t>
      </w:r>
      <w:r w:rsidRPr="007F1542">
        <w:rPr>
          <w:rFonts w:eastAsia="Times New Roman"/>
          <w:color w:val="000000" w:themeColor="text1"/>
          <w:szCs w:val="20"/>
          <w:u w:color="000000" w:themeColor="text1"/>
        </w:rPr>
        <w:noBreakHyphen/>
        <w:t>term capital plan, including timing and cost estimates, and financing plan for such capital investments whether paid from operations or debt;</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(h)</w:t>
      </w:r>
      <w:r w:rsidRPr="007F1542">
        <w:rPr>
          <w:rFonts w:eastAsia="Times New Roman"/>
          <w:color w:val="000000" w:themeColor="text1"/>
          <w:szCs w:val="20"/>
          <w:u w:color="000000" w:themeColor="text1"/>
        </w:rPr>
        <w:tab/>
        <w:t>performance objectives and results;</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 xml:space="preserve">(i) </w:t>
      </w:r>
      <w:r w:rsidRPr="007F1542">
        <w:rPr>
          <w:rFonts w:eastAsia="Times New Roman"/>
          <w:color w:val="000000" w:themeColor="text1"/>
          <w:szCs w:val="20"/>
          <w:u w:color="000000" w:themeColor="text1"/>
        </w:rPr>
        <w:tab/>
        <w:t>performance measurements used to evaluate program effectiveness;</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(j)</w:t>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any outstanding litigation issues; and</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(k)</w:t>
      </w:r>
      <w:r w:rsidRPr="007F1542">
        <w:rPr>
          <w:rFonts w:eastAsia="Times New Roman"/>
          <w:color w:val="000000" w:themeColor="text1"/>
          <w:szCs w:val="20"/>
          <w:u w:color="000000" w:themeColor="text1"/>
        </w:rPr>
        <w:tab/>
        <w:t>planning documents and progress reports, including budgeted and actual expenditures.</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(2)</w:t>
      </w:r>
      <w:r w:rsidRPr="007F1542">
        <w:rPr>
          <w:rFonts w:eastAsia="Times New Roman"/>
          <w:color w:val="000000" w:themeColor="text1"/>
          <w:szCs w:val="20"/>
          <w:u w:color="000000" w:themeColor="text1"/>
        </w:rPr>
        <w:tab/>
        <w:t>The Authority must post its annual audited financial report in a conspicuous place on the Authroity’s website and distribute the reports to members of the General Assembly.</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(3)</w:t>
      </w:r>
      <w:r w:rsidRPr="007F1542">
        <w:rPr>
          <w:rFonts w:eastAsia="Times New Roman"/>
          <w:color w:val="000000" w:themeColor="text1"/>
          <w:szCs w:val="20"/>
          <w:u w:color="000000" w:themeColor="text1"/>
        </w:rPr>
        <w:tab/>
        <w:t>Any problems or issues of concern that arise during this oversight process may be forwarded to the State Inspector General for investigation after a vote of either committee. The Inspector General is granted the authority to complete the investigation.</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t>(D)(1)</w:t>
      </w:r>
      <w:r w:rsidRPr="007F1542">
        <w:rPr>
          <w:rFonts w:eastAsia="Times New Roman"/>
          <w:color w:val="000000" w:themeColor="text1"/>
          <w:szCs w:val="20"/>
          <w:u w:color="000000" w:themeColor="text1"/>
        </w:rPr>
        <w:tab/>
        <w:t>When the Authority issues bonds, notes, or other indebtedness, including any refinancing that does not achieve a savings in total debt service, it must notify the committees of such in writing and include:</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(a)</w:t>
      </w:r>
      <w:r w:rsidRPr="007F1542">
        <w:rPr>
          <w:rFonts w:eastAsia="Times New Roman"/>
          <w:color w:val="000000" w:themeColor="text1"/>
          <w:szCs w:val="20"/>
          <w:u w:color="000000" w:themeColor="text1"/>
        </w:rPr>
        <w:tab/>
        <w:t>the date of issuance;</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(b)</w:t>
      </w:r>
      <w:r w:rsidRPr="007F1542">
        <w:rPr>
          <w:rFonts w:eastAsia="Times New Roman"/>
          <w:color w:val="000000" w:themeColor="text1"/>
          <w:szCs w:val="20"/>
          <w:u w:color="000000" w:themeColor="text1"/>
        </w:rPr>
        <w:tab/>
        <w:t>the issuance amount;</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(c)</w:t>
      </w:r>
      <w:r w:rsidRPr="007F1542">
        <w:rPr>
          <w:rFonts w:eastAsia="Times New Roman"/>
          <w:color w:val="000000" w:themeColor="text1"/>
          <w:szCs w:val="20"/>
          <w:u w:color="000000" w:themeColor="text1"/>
        </w:rPr>
        <w:tab/>
        <w:t>sources of payment; and</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lastRenderedPageBreak/>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(d)</w:t>
      </w:r>
      <w:r w:rsidRPr="007F1542">
        <w:rPr>
          <w:rFonts w:eastAsia="Times New Roman"/>
          <w:color w:val="000000" w:themeColor="text1"/>
          <w:szCs w:val="20"/>
          <w:u w:color="000000" w:themeColor="text1"/>
        </w:rPr>
        <w:tab/>
        <w:t>any ratings assigned to the debt, including the reports of the rating services.</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(2)</w:t>
      </w:r>
      <w:r w:rsidRPr="007F1542">
        <w:rPr>
          <w:rFonts w:eastAsia="Times New Roman"/>
          <w:color w:val="000000" w:themeColor="text1"/>
          <w:szCs w:val="20"/>
          <w:u w:color="000000" w:themeColor="text1"/>
        </w:rPr>
        <w:tab/>
        <w:t>Once revenue debt outstanding meets or exceeds sixty percent of debt capacity, the Joint Bond Review Committee and SFAA must be notified prior to</w:t>
      </w:r>
      <w:bookmarkStart w:id="5" w:name="temp"/>
      <w:bookmarkEnd w:id="5"/>
      <w:r w:rsidRPr="007F1542">
        <w:rPr>
          <w:rFonts w:eastAsia="Times New Roman"/>
          <w:color w:val="000000" w:themeColor="text1"/>
          <w:szCs w:val="20"/>
          <w:u w:color="000000" w:themeColor="text1"/>
        </w:rPr>
        <w:t xml:space="preserve"> any new issuances of debt.</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(3)</w:t>
      </w:r>
      <w:r w:rsidRPr="007F1542">
        <w:rPr>
          <w:rFonts w:eastAsia="Times New Roman"/>
          <w:color w:val="000000" w:themeColor="text1"/>
          <w:szCs w:val="20"/>
          <w:u w:color="000000" w:themeColor="text1"/>
        </w:rPr>
        <w:tab/>
        <w:t>For purposes of this subsection, debt capacity means the total amount of debt that can be undertaken by the Authority while maintaining compliance with its legal, contractual or rating</w:t>
      </w:r>
      <w:r w:rsidRPr="007F1542">
        <w:rPr>
          <w:rFonts w:eastAsia="Times New Roman"/>
          <w:color w:val="000000" w:themeColor="text1"/>
          <w:szCs w:val="20"/>
          <w:u w:color="000000" w:themeColor="text1"/>
        </w:rPr>
        <w:noBreakHyphen/>
        <w:t>dependent debt service coverage requirements, incorporating reasonable assumptions and projections for future revenue, interest rates, and term of the indebtedness.  The review and approval process set forth in item (2) is triggered whenever existing debt as a percentage of total debt capacity exceeds sixty percent.</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t>(E)(1)</w:t>
      </w:r>
      <w:r w:rsidRPr="007F1542">
        <w:rPr>
          <w:rFonts w:eastAsia="Times New Roman"/>
          <w:color w:val="000000" w:themeColor="text1"/>
          <w:szCs w:val="20"/>
          <w:u w:color="000000" w:themeColor="text1"/>
        </w:rPr>
        <w:tab/>
        <w:t>By September first of each year, the Authority shall provide an annual report regarding every transaction involving an interest in real property and executed during the preceding twelve months, including:</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(a)</w:t>
      </w:r>
      <w:r w:rsidRPr="007F1542">
        <w:rPr>
          <w:rFonts w:eastAsia="Times New Roman"/>
          <w:color w:val="000000" w:themeColor="text1"/>
          <w:szCs w:val="20"/>
          <w:u w:color="000000" w:themeColor="text1"/>
        </w:rPr>
        <w:tab/>
        <w:t>a summary of the key terms of all contracts effectuating or related to such transactions; and</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(b)</w:t>
      </w:r>
      <w:r w:rsidRPr="007F1542">
        <w:rPr>
          <w:rFonts w:eastAsia="Times New Roman"/>
          <w:color w:val="000000" w:themeColor="text1"/>
          <w:szCs w:val="20"/>
          <w:u w:color="000000" w:themeColor="text1"/>
        </w:rPr>
        <w:tab/>
        <w:t>parties involved in the transaction, including all entities or persons with any type of ownership interest or authority to control.</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t>SFAA, after review and comment by the Joint Bond Review Committee, may adopt instructions which must be followed by the Authority that submitted the report required by this subsection.</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(2)</w:t>
      </w:r>
      <w:r w:rsidRPr="007F1542">
        <w:rPr>
          <w:rFonts w:eastAsia="Times New Roman"/>
          <w:color w:val="000000" w:themeColor="text1"/>
          <w:szCs w:val="20"/>
          <w:u w:color="000000" w:themeColor="text1"/>
        </w:rPr>
        <w:tab/>
        <w:t>A transfer of any interest in real property by the Authority, regardless of the value of the transaction, requires review by the Joint Bond Review Committee and approval of SFAA.</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r>
      <w:r w:rsidRPr="007F1542">
        <w:rPr>
          <w:rFonts w:eastAsia="Times New Roman"/>
          <w:color w:val="000000" w:themeColor="text1"/>
          <w:szCs w:val="20"/>
          <w:u w:color="000000" w:themeColor="text1"/>
        </w:rPr>
        <w:tab/>
        <w:t>(3)</w:t>
      </w:r>
      <w:r w:rsidRPr="007F1542">
        <w:rPr>
          <w:rFonts w:eastAsia="Times New Roman"/>
          <w:color w:val="000000" w:themeColor="text1"/>
          <w:szCs w:val="20"/>
          <w:u w:color="000000" w:themeColor="text1"/>
        </w:rPr>
        <w:tab/>
        <w:t xml:space="preserve">The reporting and review requirements of this item do not apply to encroachment agreements, rights-of-way, or lease agreements made by the Authority with private individuals for residential use on and near lakes in this State. </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t>(F)</w:t>
      </w:r>
      <w:r w:rsidRPr="007F1542">
        <w:rPr>
          <w:rFonts w:eastAsia="Times New Roman"/>
          <w:color w:val="000000" w:themeColor="text1"/>
          <w:szCs w:val="20"/>
          <w:u w:color="000000" w:themeColor="text1"/>
        </w:rPr>
        <w:tab/>
        <w:t>Any and all executive compensation and retention programs must be reviewed by JBRC and the Agency Head Salary Commission.  Additionally, any employment contracts or retention contracts that last longer than five years, and all contract extensions, must be reviewed by JBRC and the Agency Head Salary Commission.</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1542">
        <w:rPr>
          <w:rFonts w:eastAsia="Times New Roman"/>
          <w:color w:val="000000" w:themeColor="text1"/>
          <w:szCs w:val="20"/>
          <w:u w:color="000000" w:themeColor="text1"/>
        </w:rPr>
        <w:tab/>
        <w:t>(G)</w:t>
      </w:r>
      <w:r w:rsidRPr="007F1542">
        <w:rPr>
          <w:rFonts w:eastAsia="Times New Roman"/>
          <w:color w:val="000000" w:themeColor="text1"/>
          <w:szCs w:val="20"/>
          <w:u w:color="000000" w:themeColor="text1"/>
        </w:rPr>
        <w:tab/>
        <w:t>The Authority is a public body for purposes of the Freedom of Information Act.</w:t>
      </w:r>
    </w:p>
    <w:p w:rsidR="001F2670" w:rsidRPr="007F1542" w:rsidRDefault="001F2670" w:rsidP="001F2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Times New Roman"/>
          <w:color w:val="000000" w:themeColor="text1"/>
          <w:szCs w:val="20"/>
          <w:u w:color="000000" w:themeColor="text1"/>
        </w:rPr>
        <w:tab/>
        <w:t>(H)</w:t>
      </w:r>
      <w:r w:rsidRPr="007F1542">
        <w:rPr>
          <w:rFonts w:eastAsia="Times New Roman"/>
          <w:color w:val="000000" w:themeColor="text1"/>
          <w:szCs w:val="20"/>
          <w:u w:color="000000" w:themeColor="text1"/>
        </w:rPr>
        <w:tab/>
        <w:t xml:space="preserve">The requirements imposed on the Authority pursuant to this section are in addition to any other requirements of law.  If any </w:t>
      </w:r>
      <w:r w:rsidRPr="007F1542">
        <w:rPr>
          <w:rFonts w:eastAsia="Times New Roman"/>
          <w:color w:val="000000" w:themeColor="text1"/>
          <w:szCs w:val="20"/>
          <w:u w:color="000000" w:themeColor="text1"/>
        </w:rPr>
        <w:lastRenderedPageBreak/>
        <w:t>provision of this section conflicts with another provision of law, the provisions of this section shall control to the extent of the conflict.”</w:t>
      </w:r>
    </w:p>
    <w:p w:rsidR="001F2670" w:rsidRPr="007F1542" w:rsidRDefault="001F2670"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56BE9" w:rsidRPr="007F1542" w:rsidRDefault="001F2670"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color w:val="000000" w:themeColor="text1"/>
          <w:szCs w:val="24"/>
          <w:u w:color="000000" w:themeColor="text1"/>
        </w:rPr>
        <w:t>SECTION</w:t>
      </w:r>
      <w:r w:rsidRPr="007F1542">
        <w:rPr>
          <w:rFonts w:eastAsia="Calibri"/>
          <w:color w:val="000000" w:themeColor="text1"/>
          <w:szCs w:val="24"/>
          <w:u w:color="000000" w:themeColor="text1"/>
        </w:rPr>
        <w:tab/>
        <w:t>14</w:t>
      </w:r>
      <w:r w:rsidR="00556BE9" w:rsidRPr="007F1542">
        <w:rPr>
          <w:rFonts w:eastAsia="Calibri"/>
          <w:color w:val="000000" w:themeColor="text1"/>
          <w:szCs w:val="24"/>
          <w:u w:color="000000" w:themeColor="text1"/>
        </w:rPr>
        <w:t>.</w:t>
      </w:r>
      <w:r w:rsidR="00556BE9" w:rsidRPr="007F1542">
        <w:rPr>
          <w:rFonts w:eastAsia="Calibri"/>
          <w:color w:val="000000" w:themeColor="text1"/>
          <w:szCs w:val="24"/>
          <w:u w:color="000000" w:themeColor="text1"/>
        </w:rPr>
        <w:tab/>
        <w:t>Section 58</w:t>
      </w:r>
      <w:r w:rsidR="00556BE9" w:rsidRPr="007F1542">
        <w:rPr>
          <w:rFonts w:eastAsia="Calibri"/>
          <w:color w:val="000000" w:themeColor="text1"/>
          <w:szCs w:val="24"/>
          <w:u w:color="000000" w:themeColor="text1"/>
        </w:rPr>
        <w:noBreakHyphen/>
        <w:t>31</w:t>
      </w:r>
      <w:r w:rsidR="00556BE9" w:rsidRPr="007F1542">
        <w:rPr>
          <w:rFonts w:eastAsia="Calibri"/>
          <w:color w:val="000000" w:themeColor="text1"/>
          <w:szCs w:val="24"/>
          <w:u w:color="000000" w:themeColor="text1"/>
        </w:rPr>
        <w:noBreakHyphen/>
        <w:t>430 of the 1976 Codes of Laws is amended to read: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7F1542">
        <w:rPr>
          <w:rFonts w:eastAsia="Calibri"/>
          <w:bCs/>
          <w:color w:val="000000" w:themeColor="text1"/>
          <w:szCs w:val="24"/>
          <w:u w:color="000000" w:themeColor="text1"/>
        </w:rPr>
        <w:tab/>
        <w:t>“Section 58</w:t>
      </w:r>
      <w:r w:rsidRPr="007F1542">
        <w:rPr>
          <w:rFonts w:eastAsia="Calibri"/>
          <w:bCs/>
          <w:color w:val="000000" w:themeColor="text1"/>
          <w:szCs w:val="24"/>
          <w:u w:color="000000" w:themeColor="text1"/>
        </w:rPr>
        <w:noBreakHyphen/>
        <w:t>31</w:t>
      </w:r>
      <w:r w:rsidRPr="007F1542">
        <w:rPr>
          <w:rFonts w:eastAsia="Calibri"/>
          <w:bCs/>
          <w:color w:val="000000" w:themeColor="text1"/>
          <w:szCs w:val="24"/>
          <w:u w:color="000000" w:themeColor="text1"/>
        </w:rPr>
        <w:noBreakHyphen/>
        <w:t>430.</w:t>
      </w:r>
      <w:r w:rsidRPr="007F1542">
        <w:rPr>
          <w:rFonts w:eastAsia="Calibri"/>
          <w:bCs/>
          <w:color w:val="000000" w:themeColor="text1"/>
          <w:szCs w:val="24"/>
          <w:u w:color="000000" w:themeColor="text1"/>
        </w:rPr>
        <w:tab/>
      </w:r>
      <w:r w:rsidRPr="007F1542">
        <w:rPr>
          <w:rFonts w:eastAsia="Calibri"/>
          <w:color w:val="000000" w:themeColor="text1"/>
          <w:szCs w:val="24"/>
          <w:u w:color="000000" w:themeColor="text1"/>
        </w:rPr>
        <w:t>The Public Service Commission may not assign any portion of the present service area of the Public Service Authority to any electrical utility or electric cooperative and this service area must be exclusively served by the Public Service Authority</w:t>
      </w:r>
      <w:r w:rsidR="007F1542" w:rsidRPr="007F1542">
        <w:rPr>
          <w:rFonts w:eastAsia="Calibri"/>
          <w:color w:val="000000" w:themeColor="text1"/>
          <w:szCs w:val="24"/>
        </w:rPr>
        <w:t xml:space="preserve"> </w:t>
      </w:r>
      <w:r w:rsidRPr="007F1542">
        <w:rPr>
          <w:rFonts w:eastAsia="Calibri"/>
          <w:color w:val="000000" w:themeColor="text1"/>
          <w:szCs w:val="24"/>
          <w:u w:val="single" w:color="000000" w:themeColor="text1"/>
        </w:rPr>
        <w:t>unless otherwise agreed to by the Public Service Authority as described in this section</w:t>
      </w:r>
      <w:r w:rsidRPr="007F1542">
        <w:rPr>
          <w:rFonts w:eastAsia="Calibri"/>
          <w:color w:val="000000" w:themeColor="text1"/>
          <w:szCs w:val="24"/>
          <w:u w:color="000000" w:themeColor="text1"/>
        </w:rPr>
        <w:t>. Santee Electric Cooperative, Inc., Berkeley Electric Cooperative, Inc., Horry Electric Cooperative, Inc. may serve those areas reserved to them as provided in Section 58</w:t>
      </w:r>
      <w:r w:rsidRPr="007F1542">
        <w:rPr>
          <w:rFonts w:eastAsia="Calibri"/>
          <w:color w:val="000000" w:themeColor="text1"/>
          <w:szCs w:val="24"/>
          <w:u w:color="000000" w:themeColor="text1"/>
        </w:rPr>
        <w:noBreakHyphen/>
        <w:t>31</w:t>
      </w:r>
      <w:r w:rsidRPr="007F1542">
        <w:rPr>
          <w:rFonts w:eastAsia="Calibri"/>
          <w:color w:val="000000" w:themeColor="text1"/>
          <w:szCs w:val="24"/>
          <w:u w:color="000000" w:themeColor="text1"/>
        </w:rPr>
        <w:noBreakHyphen/>
        <w:t>330. The Public Service Commission is directed to conform the present assignment under Section 58</w:t>
      </w:r>
      <w:r w:rsidRPr="007F1542">
        <w:rPr>
          <w:rFonts w:eastAsia="Calibri"/>
          <w:color w:val="000000" w:themeColor="text1"/>
          <w:szCs w:val="24"/>
          <w:u w:color="000000" w:themeColor="text1"/>
        </w:rPr>
        <w:noBreakHyphen/>
        <w:t>27</w:t>
      </w:r>
      <w:r w:rsidRPr="007F1542">
        <w:rPr>
          <w:rFonts w:eastAsia="Calibri"/>
          <w:color w:val="000000" w:themeColor="text1"/>
          <w:szCs w:val="24"/>
          <w:u w:color="000000" w:themeColor="text1"/>
        </w:rPr>
        <w:noBreakHyphen/>
        <w:t>620 to the mandates of this article. Nothing contained in this article may be construed as preventing the Public Service Commission from exercising its jurisdiction over electric cooperative service areas in the manner provided by law. Upon customer choice either the Public Service Authority</w:t>
      </w:r>
      <w:r w:rsidRPr="007F1542">
        <w:rPr>
          <w:rFonts w:eastAsia="Calibri"/>
          <w:color w:val="000000" w:themeColor="text1"/>
          <w:szCs w:val="24"/>
          <w:u w:val="single" w:color="000000" w:themeColor="text1"/>
        </w:rPr>
        <w:t>,</w:t>
      </w:r>
      <w:r w:rsidRPr="007F1542">
        <w:rPr>
          <w:rFonts w:eastAsia="Calibri"/>
          <w:color w:val="000000" w:themeColor="text1"/>
          <w:szCs w:val="24"/>
          <w:u w:color="000000" w:themeColor="text1"/>
        </w:rPr>
        <w:t xml:space="preserve"> </w:t>
      </w:r>
      <w:r w:rsidRPr="007F1542">
        <w:rPr>
          <w:rFonts w:eastAsia="Calibri"/>
          <w:strike/>
          <w:color w:val="000000" w:themeColor="text1"/>
          <w:szCs w:val="24"/>
          <w:u w:color="000000" w:themeColor="text1"/>
        </w:rPr>
        <w:t xml:space="preserve">or </w:t>
      </w:r>
      <w:r w:rsidRPr="007F1542">
        <w:rPr>
          <w:rFonts w:eastAsia="Calibri"/>
          <w:color w:val="000000" w:themeColor="text1"/>
          <w:szCs w:val="24"/>
          <w:u w:color="000000" w:themeColor="text1"/>
        </w:rPr>
        <w:t>an electric cooperative mentioned above</w:t>
      </w:r>
      <w:r w:rsidRPr="007F1542">
        <w:rPr>
          <w:rFonts w:eastAsia="Calibri"/>
          <w:color w:val="000000" w:themeColor="text1"/>
          <w:szCs w:val="24"/>
          <w:u w:val="single" w:color="000000" w:themeColor="text1"/>
        </w:rPr>
        <w:t>, or Edisto Electric Cooperative, Inc.</w:t>
      </w:r>
      <w:r w:rsidRPr="007F1542">
        <w:rPr>
          <w:rFonts w:eastAsia="Calibri"/>
          <w:color w:val="000000" w:themeColor="text1"/>
          <w:szCs w:val="24"/>
          <w:u w:color="000000" w:themeColor="text1"/>
        </w:rPr>
        <w:t xml:space="preserve"> may furnish electric service to any new premises which the other supplier has the right to serve, upon agreement of the affected suppliers.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7F1542">
        <w:rPr>
          <w:rFonts w:eastAsia="Calibri"/>
          <w:color w:val="000000" w:themeColor="text1"/>
          <w:szCs w:val="24"/>
        </w:rPr>
        <w:tab/>
      </w:r>
      <w:r w:rsidRPr="007F1542">
        <w:rPr>
          <w:rFonts w:eastAsia="Calibri"/>
          <w:color w:val="000000" w:themeColor="text1"/>
          <w:szCs w:val="24"/>
          <w:u w:val="single" w:color="000000" w:themeColor="text1"/>
        </w:rPr>
        <w:t>Notwithstanding the foregoing, the Public Service Authority shall have the right to enter into agreements with other electric suppliers, as defined by Section 58</w:t>
      </w:r>
      <w:r w:rsidRPr="007F1542">
        <w:rPr>
          <w:rFonts w:eastAsia="Calibri"/>
          <w:color w:val="000000" w:themeColor="text1"/>
          <w:szCs w:val="24"/>
          <w:u w:val="single" w:color="000000" w:themeColor="text1"/>
        </w:rPr>
        <w:noBreakHyphen/>
        <w:t>27</w:t>
      </w:r>
      <w:r w:rsidRPr="007F1542">
        <w:rPr>
          <w:rFonts w:eastAsia="Calibri"/>
          <w:color w:val="000000" w:themeColor="text1"/>
          <w:szCs w:val="24"/>
          <w:u w:val="single" w:color="000000" w:themeColor="text1"/>
        </w:rPr>
        <w:noBreakHyphen/>
        <w:t>610, concerning service areas, as contemplated by Section 58</w:t>
      </w:r>
      <w:r w:rsidRPr="007F1542">
        <w:rPr>
          <w:rFonts w:eastAsia="Calibri"/>
          <w:color w:val="000000" w:themeColor="text1"/>
          <w:szCs w:val="24"/>
          <w:u w:val="single" w:color="000000" w:themeColor="text1"/>
        </w:rPr>
        <w:noBreakHyphen/>
        <w:t>27</w:t>
      </w:r>
      <w:r w:rsidRPr="007F1542">
        <w:rPr>
          <w:rFonts w:eastAsia="Calibri"/>
          <w:color w:val="000000" w:themeColor="text1"/>
          <w:szCs w:val="24"/>
          <w:u w:val="single" w:color="000000" w:themeColor="text1"/>
        </w:rPr>
        <w:noBreakHyphen/>
        <w:t>640, and corridor rights, as defined by Section 58</w:t>
      </w:r>
      <w:r w:rsidRPr="007F1542">
        <w:rPr>
          <w:rFonts w:eastAsia="Calibri"/>
          <w:color w:val="000000" w:themeColor="text1"/>
          <w:szCs w:val="24"/>
          <w:u w:val="single" w:color="000000" w:themeColor="text1"/>
        </w:rPr>
        <w:noBreakHyphen/>
        <w:t>27</w:t>
      </w:r>
      <w:r w:rsidRPr="007F1542">
        <w:rPr>
          <w:rFonts w:eastAsia="Calibri"/>
          <w:color w:val="000000" w:themeColor="text1"/>
          <w:szCs w:val="24"/>
          <w:u w:val="single" w:color="000000" w:themeColor="text1"/>
        </w:rPr>
        <w:noBreakHyphen/>
        <w:t xml:space="preserve">610. In that event, the Public Service Commission shall have the authority to approve said agreements and to reassign said service area or corridor rights. This authority shall only apply in situations where all affected electric suppliers have reached an agreement concerning service areas or corridor rights. With respect to the agreements, the commission shall approve the agreements and reassign said service area or corridor rights if, after giving notice and an opportunity for hearing to interested parties, it finds the agreements to be fair and reasonable, but the commission shall not have the authority to alter or amend any such agreement unless all affected electric suppliers agree to the alteration or amendment. For purposes of this article, the term ‘all affected electric suppliers’ shall include, </w:t>
      </w:r>
      <w:r w:rsidRPr="007F1542">
        <w:rPr>
          <w:rFonts w:eastAsia="Times New Roman"/>
          <w:color w:val="000000" w:themeColor="text1"/>
          <w:szCs w:val="24"/>
          <w:u w:val="single" w:color="000000" w:themeColor="text1"/>
        </w:rPr>
        <w:t xml:space="preserve">but not be limited to, </w:t>
      </w:r>
      <w:r w:rsidRPr="007F1542">
        <w:rPr>
          <w:rFonts w:eastAsia="Calibri"/>
          <w:color w:val="000000" w:themeColor="text1"/>
          <w:szCs w:val="24"/>
          <w:u w:val="single" w:color="000000" w:themeColor="text1"/>
        </w:rPr>
        <w:t xml:space="preserve">the nearest electric cooperative or cooperatives to the proposed service area changes within a five mile radius of the affected service area or corridor. This section shall not </w:t>
      </w:r>
      <w:r w:rsidRPr="007F1542">
        <w:rPr>
          <w:rFonts w:eastAsia="Calibri"/>
          <w:color w:val="000000" w:themeColor="text1"/>
          <w:szCs w:val="24"/>
          <w:u w:val="single" w:color="000000" w:themeColor="text1"/>
        </w:rPr>
        <w:lastRenderedPageBreak/>
        <w:t>confer service territory rights to the Public Service Authority beyond those provided in Section 58</w:t>
      </w:r>
      <w:r w:rsidRPr="007F1542">
        <w:rPr>
          <w:rFonts w:eastAsia="Calibri"/>
          <w:color w:val="000000" w:themeColor="text1"/>
          <w:szCs w:val="24"/>
          <w:u w:val="single" w:color="000000" w:themeColor="text1"/>
        </w:rPr>
        <w:noBreakHyphen/>
        <w:t>31</w:t>
      </w:r>
      <w:r w:rsidRPr="007F1542">
        <w:rPr>
          <w:rFonts w:eastAsia="Calibri"/>
          <w:color w:val="000000" w:themeColor="text1"/>
          <w:szCs w:val="24"/>
          <w:u w:val="single" w:color="000000" w:themeColor="text1"/>
        </w:rPr>
        <w:noBreakHyphen/>
        <w:t>330 and Section 58</w:t>
      </w:r>
      <w:r w:rsidRPr="007F1542">
        <w:rPr>
          <w:rFonts w:eastAsia="Calibri"/>
          <w:color w:val="000000" w:themeColor="text1"/>
          <w:szCs w:val="24"/>
          <w:u w:val="single" w:color="000000" w:themeColor="text1"/>
        </w:rPr>
        <w:noBreakHyphen/>
        <w:t>31</w:t>
      </w:r>
      <w:r w:rsidRPr="007F1542">
        <w:rPr>
          <w:rFonts w:eastAsia="Calibri"/>
          <w:color w:val="000000" w:themeColor="text1"/>
          <w:szCs w:val="24"/>
          <w:u w:val="single" w:color="000000" w:themeColor="text1"/>
        </w:rPr>
        <w:noBreakHyphen/>
        <w:t>320(2).”</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1F2670"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
        </w:rPr>
      </w:pPr>
      <w:r w:rsidRPr="007F1542">
        <w:rPr>
          <w:rFonts w:eastAsia="Calibri"/>
          <w:color w:val="000000" w:themeColor="text1"/>
          <w:szCs w:val="24"/>
          <w:u w:color="000000" w:themeColor="text1"/>
        </w:rPr>
        <w:t>SECTION</w:t>
      </w:r>
      <w:r w:rsidRPr="007F1542">
        <w:rPr>
          <w:rFonts w:eastAsia="Calibri"/>
          <w:color w:val="000000" w:themeColor="text1"/>
          <w:szCs w:val="24"/>
          <w:u w:color="000000" w:themeColor="text1"/>
        </w:rPr>
        <w:tab/>
        <w:t>15</w:t>
      </w:r>
      <w:r w:rsidR="00556BE9" w:rsidRPr="007F1542">
        <w:rPr>
          <w:rFonts w:eastAsia="Calibri"/>
          <w:color w:val="000000" w:themeColor="text1"/>
          <w:szCs w:val="24"/>
          <w:u w:color="000000" w:themeColor="text1"/>
        </w:rPr>
        <w:t>.</w:t>
      </w:r>
      <w:r w:rsidR="00556BE9" w:rsidRPr="007F1542">
        <w:rPr>
          <w:rFonts w:eastAsia="Calibri"/>
          <w:color w:val="000000" w:themeColor="text1"/>
          <w:szCs w:val="24"/>
          <w:u w:color="000000" w:themeColor="text1"/>
        </w:rPr>
        <w:tab/>
        <w:t xml:space="preserve">As part of the process of retiring its coal units, the Public Service Authority </w:t>
      </w:r>
      <w:r w:rsidR="00556BE9" w:rsidRPr="007F1542">
        <w:rPr>
          <w:rFonts w:eastAsia="Calibri"/>
          <w:color w:val="000000" w:themeColor="text1"/>
          <w:szCs w:val="24"/>
          <w:u w:color="000000" w:themeColor="text1"/>
          <w:lang w:val="en"/>
        </w:rPr>
        <w:t>shall develop and implement a plan, with community engagement and participation, that</w:t>
      </w:r>
      <w:r w:rsidR="00556BE9" w:rsidRPr="007F1542">
        <w:rPr>
          <w:rFonts w:eastAsia="Calibri"/>
          <w:color w:val="000000" w:themeColor="text1"/>
          <w:szCs w:val="24"/>
          <w:u w:color="000000" w:themeColor="text1"/>
        </w:rPr>
        <w:t xml:space="preserve">: (a) allows employees in good standing who would be directly affected by the closure of the unit to be retained by the Public Service Authority, or provides training opportunities for related employment to affected employees in good standing who cannot be retained; and (b) provides an opportunity for economic development and job attraction in the communities where the retired coal stations are located. </w:t>
      </w:r>
      <w:r w:rsidR="00556BE9" w:rsidRPr="007F1542">
        <w:rPr>
          <w:rFonts w:eastAsia="Calibri"/>
          <w:color w:val="000000" w:themeColor="text1"/>
          <w:szCs w:val="24"/>
          <w:u w:color="000000" w:themeColor="text1"/>
          <w:lang w:val="en"/>
        </w:rPr>
        <w:t>Annual written status reports shall be provided to the SC Public Utilities Review Committee.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7F1542" w:rsidRDefault="001F2670"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t>16</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(A)</w:t>
      </w:r>
      <w:r w:rsidR="00556BE9" w:rsidRPr="007F1542">
        <w:rPr>
          <w:rFonts w:eastAsia="Times New Roman"/>
          <w:color w:val="000000" w:themeColor="text1"/>
          <w:szCs w:val="24"/>
          <w:u w:color="000000" w:themeColor="text1"/>
        </w:rPr>
        <w:tab/>
        <w:t xml:space="preserve">To ensure that the Public Service Authority board of directors positions are appropriately staggered, the following establishes the term expiration for positions as of the effective date of this act: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(1)</w:t>
      </w:r>
      <w:r w:rsidRPr="007F1542">
        <w:rPr>
          <w:rFonts w:eastAsia="Times New Roman"/>
          <w:color w:val="000000" w:themeColor="text1"/>
          <w:szCs w:val="24"/>
          <w:u w:color="000000" w:themeColor="text1"/>
        </w:rPr>
        <w:tab/>
        <w:t>The terms for the members representing the 1st, 2nd and 7th congressional districts, and the At Large seat designated as the Chair shall expire on January 1, 2022;</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(2)</w:t>
      </w:r>
      <w:r w:rsidRPr="007F1542">
        <w:rPr>
          <w:rFonts w:eastAsia="Times New Roman"/>
          <w:color w:val="000000" w:themeColor="text1"/>
          <w:szCs w:val="24"/>
          <w:u w:color="000000" w:themeColor="text1"/>
        </w:rPr>
        <w:tab/>
        <w:t>The terms for the members representing the 3rd, 4th and 6th congressional districts and Berkeley County shall expire on January 1, 2024; and</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ab/>
      </w:r>
      <w:r w:rsidRPr="007F1542">
        <w:rPr>
          <w:rFonts w:eastAsia="Times New Roman"/>
          <w:color w:val="000000" w:themeColor="text1"/>
          <w:szCs w:val="24"/>
          <w:u w:color="000000" w:themeColor="text1"/>
        </w:rPr>
        <w:tab/>
        <w:t>(3)</w:t>
      </w:r>
      <w:r w:rsidRPr="007F1542">
        <w:rPr>
          <w:rFonts w:eastAsia="Times New Roman"/>
          <w:color w:val="000000" w:themeColor="text1"/>
          <w:szCs w:val="24"/>
          <w:u w:color="000000" w:themeColor="text1"/>
        </w:rPr>
        <w:tab/>
        <w:t>The terms for members representing the 5th congressional district, Horry County, Georgetown County and the other At Large seat shall expire on January 1, 2026.</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t>If any vacancy occurs prior to respective date established in this SECTION, except for the chairman position, the Governor may appoint a successor pursuant to Section 58</w:t>
      </w:r>
      <w:r w:rsidRPr="007F1542">
        <w:rPr>
          <w:rFonts w:eastAsia="Times New Roman"/>
          <w:color w:val="000000" w:themeColor="text1"/>
          <w:szCs w:val="24"/>
          <w:u w:color="000000" w:themeColor="text1"/>
        </w:rPr>
        <w:noBreakHyphen/>
        <w:t>31</w:t>
      </w:r>
      <w:r w:rsidRPr="007F1542">
        <w:rPr>
          <w:rFonts w:eastAsia="Times New Roman"/>
          <w:color w:val="000000" w:themeColor="text1"/>
          <w:szCs w:val="24"/>
          <w:u w:color="000000" w:themeColor="text1"/>
        </w:rPr>
        <w:noBreakHyphen/>
        <w:t>20. However, the Acting Board Chair as of the effective date of this act shall serve as Chair for the duration of his term as set forth herein. Thereafter, the Governor shall name the Chair from among the board members, and that member shall serve as chair for the duration of their then</w:t>
      </w:r>
      <w:r w:rsidRPr="007F1542">
        <w:rPr>
          <w:rFonts w:eastAsia="Times New Roman"/>
          <w:color w:val="000000" w:themeColor="text1"/>
          <w:szCs w:val="24"/>
          <w:u w:color="000000" w:themeColor="text1"/>
        </w:rPr>
        <w:noBreakHyphen/>
        <w:t>current term.</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542">
        <w:rPr>
          <w:rFonts w:eastAsia="Times New Roman"/>
          <w:color w:val="000000" w:themeColor="text1"/>
          <w:szCs w:val="24"/>
          <w:u w:color="000000" w:themeColor="text1"/>
        </w:rPr>
        <w:tab/>
      </w:r>
      <w:r w:rsidRPr="007F1542">
        <w:rPr>
          <w:color w:val="000000" w:themeColor="text1"/>
          <w:szCs w:val="24"/>
          <w:u w:color="000000" w:themeColor="text1"/>
        </w:rPr>
        <w:t>(B)(1)</w:t>
      </w:r>
      <w:r w:rsidRPr="007F1542">
        <w:rPr>
          <w:color w:val="000000" w:themeColor="text1"/>
          <w:szCs w:val="24"/>
          <w:u w:color="000000" w:themeColor="text1"/>
        </w:rPr>
        <w:tab/>
        <w:t xml:space="preserve">The provisions in SECTION 1 regarding board member term limits shall apply to appointments made on or after the effective date of this act. </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542">
        <w:rPr>
          <w:color w:val="000000" w:themeColor="text1"/>
          <w:szCs w:val="24"/>
          <w:u w:color="000000" w:themeColor="text1"/>
        </w:rPr>
        <w:tab/>
        <w:t>(2)</w:t>
      </w:r>
      <w:r w:rsidRPr="007F1542">
        <w:rPr>
          <w:color w:val="000000" w:themeColor="text1"/>
          <w:szCs w:val="24"/>
          <w:u w:color="000000" w:themeColor="text1"/>
        </w:rPr>
        <w:tab/>
        <w:t xml:space="preserve">Each board member serving a full term as of this act’s effective date is eligible for reappointment for one additional full term once his or her current term expires. </w:t>
      </w:r>
    </w:p>
    <w:p w:rsidR="00556BE9" w:rsidRPr="007F1542" w:rsidRDefault="001F2670"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F1542">
        <w:rPr>
          <w:rFonts w:eastAsia="Times New Roman"/>
          <w:color w:val="000000" w:themeColor="text1"/>
          <w:szCs w:val="24"/>
          <w:u w:color="000000" w:themeColor="text1"/>
        </w:rPr>
        <w:lastRenderedPageBreak/>
        <w:t>SECTION</w:t>
      </w:r>
      <w:r w:rsidRPr="007F1542">
        <w:rPr>
          <w:rFonts w:eastAsia="Times New Roman"/>
          <w:color w:val="000000" w:themeColor="text1"/>
          <w:szCs w:val="24"/>
          <w:u w:color="000000" w:themeColor="text1"/>
        </w:rPr>
        <w:tab/>
        <w:t>17</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Section 11 in Act 135 of 2020 is repealed on the effective date of this act.</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7F1542" w:rsidRDefault="001F2670"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F1542">
        <w:rPr>
          <w:color w:val="000000" w:themeColor="text1"/>
          <w:szCs w:val="24"/>
          <w:u w:color="000000" w:themeColor="text1"/>
        </w:rPr>
        <w:t>SECTION</w:t>
      </w:r>
      <w:r w:rsidRPr="007F1542">
        <w:rPr>
          <w:color w:val="000000" w:themeColor="text1"/>
          <w:szCs w:val="24"/>
          <w:u w:color="000000" w:themeColor="text1"/>
        </w:rPr>
        <w:tab/>
        <w:t>18</w:t>
      </w:r>
      <w:r w:rsidR="00556BE9" w:rsidRPr="007F1542">
        <w:rPr>
          <w:color w:val="000000" w:themeColor="text1"/>
          <w:szCs w:val="24"/>
          <w:u w:color="000000" w:themeColor="text1"/>
        </w:rPr>
        <w:t>.</w:t>
      </w:r>
      <w:r w:rsidR="00556BE9" w:rsidRPr="007F1542">
        <w:rPr>
          <w:color w:val="000000" w:themeColor="text1"/>
          <w:szCs w:val="24"/>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6BE9" w:rsidRPr="007F1542"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FE1F8B" w:rsidRPr="007F1542" w:rsidRDefault="001F2670"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F1542">
        <w:rPr>
          <w:rFonts w:eastAsia="Times New Roman"/>
          <w:color w:val="000000" w:themeColor="text1"/>
          <w:szCs w:val="24"/>
          <w:u w:color="000000" w:themeColor="text1"/>
        </w:rPr>
        <w:t>SECTION</w:t>
      </w:r>
      <w:r w:rsidRPr="007F1542">
        <w:rPr>
          <w:rFonts w:eastAsia="Times New Roman"/>
          <w:color w:val="000000" w:themeColor="text1"/>
          <w:szCs w:val="24"/>
          <w:u w:color="000000" w:themeColor="text1"/>
        </w:rPr>
        <w:tab/>
        <w:t>19</w:t>
      </w:r>
      <w:r w:rsidR="00556BE9" w:rsidRPr="007F1542">
        <w:rPr>
          <w:rFonts w:eastAsia="Times New Roman"/>
          <w:color w:val="000000" w:themeColor="text1"/>
          <w:szCs w:val="24"/>
          <w:u w:color="000000" w:themeColor="text1"/>
        </w:rPr>
        <w:t>.</w:t>
      </w:r>
      <w:r w:rsidR="00556BE9" w:rsidRPr="007F1542">
        <w:rPr>
          <w:rFonts w:eastAsia="Times New Roman"/>
          <w:color w:val="000000" w:themeColor="text1"/>
          <w:szCs w:val="24"/>
          <w:u w:color="000000" w:themeColor="text1"/>
        </w:rPr>
        <w:tab/>
        <w:t>This act takes effect upon approval by the Governor.</w:t>
      </w:r>
    </w:p>
    <w:p w:rsidR="007B2320" w:rsidRPr="007F154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sidRPr="007F1542">
        <w:rPr>
          <w:rFonts w:eastAsia="Times New Roman"/>
          <w:color w:val="000000" w:themeColor="text1"/>
        </w:rPr>
        <w:noBreakHyphen/>
      </w:r>
      <w:r w:rsidRPr="007F1542">
        <w:rPr>
          <w:rFonts w:eastAsia="Times New Roman"/>
          <w:color w:val="000000" w:themeColor="text1"/>
        </w:rPr>
        <w:noBreakHyphen/>
      </w:r>
      <w:r w:rsidRPr="007F1542">
        <w:rPr>
          <w:rFonts w:eastAsia="Times New Roman"/>
          <w:color w:val="000000" w:themeColor="text1"/>
        </w:rPr>
        <w:noBreakHyphen/>
      </w:r>
      <w:r w:rsidRPr="007F1542">
        <w:rPr>
          <w:rFonts w:eastAsia="Times New Roman"/>
          <w:color w:val="000000" w:themeColor="text1"/>
        </w:rPr>
        <w:noBreakHyphen/>
        <w:t>XX</w:t>
      </w:r>
      <w:r w:rsidRPr="007F1542">
        <w:rPr>
          <w:rFonts w:eastAsia="Times New Roman"/>
          <w:color w:val="000000" w:themeColor="text1"/>
        </w:rPr>
        <w:noBreakHyphen/>
      </w:r>
      <w:r w:rsidRPr="007F1542">
        <w:rPr>
          <w:rFonts w:eastAsia="Times New Roman"/>
          <w:color w:val="000000" w:themeColor="text1"/>
        </w:rPr>
        <w:noBreakHyphen/>
      </w:r>
      <w:r w:rsidRPr="007F1542">
        <w:rPr>
          <w:rFonts w:eastAsia="Times New Roman"/>
          <w:color w:val="000000" w:themeColor="text1"/>
        </w:rPr>
        <w:noBreakHyphen/>
      </w:r>
      <w:r w:rsidRPr="007F1542">
        <w:rPr>
          <w:rFonts w:eastAsia="Times New Roman"/>
          <w:color w:val="000000" w:themeColor="text1"/>
        </w:rPr>
        <w:noBreakHyphen/>
      </w:r>
    </w:p>
    <w:p w:rsidR="00157694" w:rsidRPr="007F1542" w:rsidRDefault="00157694" w:rsidP="00157694">
      <w:pPr>
        <w:suppressAutoHyphens/>
        <w:jc w:val="both"/>
        <w:rPr>
          <w:rFonts w:eastAsia="Times New Roman"/>
          <w:color w:val="000000" w:themeColor="text1"/>
        </w:rPr>
      </w:pPr>
    </w:p>
    <w:sectPr w:rsidR="00157694" w:rsidRPr="007F1542" w:rsidSect="006024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C34" w:rsidRDefault="00907C34" w:rsidP="00522CE0">
      <w:r>
        <w:separator/>
      </w:r>
    </w:p>
  </w:endnote>
  <w:endnote w:type="continuationSeparator" w:id="0">
    <w:p w:rsidR="00907C34" w:rsidRDefault="00907C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579D75-231E-40E6-9CAE-FC09DEAEEDDD}"/>
    <w:embedBold r:id="rId2" w:fontKey="{F5BB57BF-D01E-4426-94D2-B82F4F59D9EB}"/>
    <w:embedItalic r:id="rId3" w:fontKey="{7352A0CC-41BA-4E11-8AA3-16FEE421863D}"/>
  </w:font>
  <w:font w:name="Calibri">
    <w:panose1 w:val="020F0502020204030204"/>
    <w:charset w:val="00"/>
    <w:family w:val="swiss"/>
    <w:pitch w:val="variable"/>
    <w:sig w:usb0="E0002EFF" w:usb1="C000247B" w:usb2="00000009" w:usb3="00000000" w:csb0="000001FF" w:csb1="00000000"/>
    <w:embedRegular r:id="rId4" w:fontKey="{AF32FDEC-23FE-4433-A9D2-007C43B55A95}"/>
  </w:font>
  <w:font w:name="Segoe UI">
    <w:panose1 w:val="020B0502040204020203"/>
    <w:charset w:val="00"/>
    <w:family w:val="swiss"/>
    <w:pitch w:val="variable"/>
    <w:sig w:usb0="E4002EFF" w:usb1="C000E47F" w:usb2="00000009" w:usb3="00000000" w:csb0="000001FF" w:csb1="00000000"/>
    <w:embedRegular r:id="rId5" w:fontKey="{8A3AFC6B-D152-438E-A2FF-189D2A8A8B10}"/>
  </w:font>
  <w:font w:name="Cambria">
    <w:panose1 w:val="02040503050406030204"/>
    <w:charset w:val="00"/>
    <w:family w:val="roman"/>
    <w:pitch w:val="variable"/>
    <w:sig w:usb0="E00006FF" w:usb1="420024FF" w:usb2="02000000" w:usb3="00000000" w:csb0="0000019F" w:csb1="00000000"/>
    <w:embedRegular r:id="rId6" w:fontKey="{AA9854D7-25F4-4000-9EC0-C1B99795AD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C34" w:rsidRPr="00F42EE0" w:rsidRDefault="00907C34" w:rsidP="00F42EE0">
    <w:pPr>
      <w:pStyle w:val="Footer"/>
      <w:tabs>
        <w:tab w:val="clear" w:pos="4680"/>
        <w:tab w:val="clear" w:pos="9360"/>
        <w:tab w:val="center" w:pos="2995"/>
      </w:tabs>
      <w:spacing w:before="120"/>
    </w:pPr>
    <w:r>
      <w:t>[464-</w:t>
    </w:r>
    <w:r>
      <w:fldChar w:fldCharType="begin"/>
    </w:r>
    <w:r>
      <w:instrText xml:space="preserve"> PAGE  \* MERGEFORMAT </w:instrText>
    </w:r>
    <w:r>
      <w:fldChar w:fldCharType="separate"/>
    </w:r>
    <w:r w:rsidR="0015769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C34" w:rsidRPr="00F42EE0" w:rsidRDefault="00907C34" w:rsidP="00F42EE0">
    <w:pPr>
      <w:pStyle w:val="Footer"/>
      <w:tabs>
        <w:tab w:val="clear" w:pos="4680"/>
        <w:tab w:val="clear" w:pos="9360"/>
        <w:tab w:val="center" w:pos="2995"/>
      </w:tabs>
      <w:spacing w:before="120"/>
    </w:pPr>
    <w:r>
      <w:t>[464]</w:t>
    </w:r>
    <w:r>
      <w:tab/>
    </w:r>
    <w:r>
      <w:fldChar w:fldCharType="begin"/>
    </w:r>
    <w:r>
      <w:instrText xml:space="preserve"> PAGE  \* MERGEFORMAT </w:instrText>
    </w:r>
    <w:r>
      <w:fldChar w:fldCharType="separate"/>
    </w:r>
    <w:r w:rsidR="001576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C34" w:rsidRDefault="00907C34" w:rsidP="00522CE0">
      <w:r>
        <w:separator/>
      </w:r>
    </w:p>
  </w:footnote>
  <w:footnote w:type="continuationSeparator" w:id="0">
    <w:p w:rsidR="00907C34" w:rsidRDefault="00907C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3.HLA"/>
    <w:docVar w:name="CoverAttorneyInitials" w:val="HLA"/>
    <w:docVar w:name="CoverAttorneyLastName" w:val="Anderson"/>
    <w:docVar w:name="CoverBillType" w:val="b"/>
    <w:docVar w:name="DraftFileName" w:val="JUD0023.HLA.DOCX"/>
    <w:docVar w:name="DraftStenoName" w:val="Henry"/>
    <w:docVar w:name="dvBillNumber" w:val="464"/>
    <w:docVar w:name="dvBillNumberPrefix" w:val="S. "/>
    <w:docVar w:name="dvOriginalBody" w:val="Senate"/>
    <w:docVar w:name="fulldraftpath" w:val="L:\S-JUD\BILLS\Rankin\JUD0023.HLA.DOCX"/>
    <w:docVar w:name="NameofBody" w:val="S"/>
    <w:docVar w:name="SenatorFolderName" w:val="Rankin"/>
    <w:docVar w:name="VGROUP2" w:val="S-JUD"/>
  </w:docVars>
  <w:rsids>
    <w:rsidRoot w:val="00FE1F8B"/>
    <w:rsid w:val="000141EB"/>
    <w:rsid w:val="00042AC1"/>
    <w:rsid w:val="00046516"/>
    <w:rsid w:val="000A4D08"/>
    <w:rsid w:val="000A6988"/>
    <w:rsid w:val="000A7362"/>
    <w:rsid w:val="000B0720"/>
    <w:rsid w:val="000B5EAF"/>
    <w:rsid w:val="000D2398"/>
    <w:rsid w:val="000E473B"/>
    <w:rsid w:val="000F002B"/>
    <w:rsid w:val="00107C3D"/>
    <w:rsid w:val="00126995"/>
    <w:rsid w:val="00157694"/>
    <w:rsid w:val="0016543B"/>
    <w:rsid w:val="00170561"/>
    <w:rsid w:val="00186AC9"/>
    <w:rsid w:val="00190F47"/>
    <w:rsid w:val="00197DF1"/>
    <w:rsid w:val="001B3DD9"/>
    <w:rsid w:val="001C23C9"/>
    <w:rsid w:val="001D3BAC"/>
    <w:rsid w:val="001F2670"/>
    <w:rsid w:val="00206D3D"/>
    <w:rsid w:val="0021330E"/>
    <w:rsid w:val="00221A5C"/>
    <w:rsid w:val="0024519E"/>
    <w:rsid w:val="00245C4E"/>
    <w:rsid w:val="002C5896"/>
    <w:rsid w:val="002E203D"/>
    <w:rsid w:val="002E7B2B"/>
    <w:rsid w:val="00307C2B"/>
    <w:rsid w:val="0031409E"/>
    <w:rsid w:val="00317563"/>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E0ABD"/>
    <w:rsid w:val="0051584C"/>
    <w:rsid w:val="00520D79"/>
    <w:rsid w:val="00522CE0"/>
    <w:rsid w:val="00525DCD"/>
    <w:rsid w:val="00541FF6"/>
    <w:rsid w:val="0054526E"/>
    <w:rsid w:val="00556BE9"/>
    <w:rsid w:val="00565148"/>
    <w:rsid w:val="00581497"/>
    <w:rsid w:val="00586B30"/>
    <w:rsid w:val="0058748C"/>
    <w:rsid w:val="00593361"/>
    <w:rsid w:val="005A5017"/>
    <w:rsid w:val="005A648C"/>
    <w:rsid w:val="005C69AA"/>
    <w:rsid w:val="005F15E4"/>
    <w:rsid w:val="00600221"/>
    <w:rsid w:val="006024E5"/>
    <w:rsid w:val="00606D23"/>
    <w:rsid w:val="00617BF0"/>
    <w:rsid w:val="00641A16"/>
    <w:rsid w:val="006431BA"/>
    <w:rsid w:val="00695C18"/>
    <w:rsid w:val="006B4B3C"/>
    <w:rsid w:val="006C74EA"/>
    <w:rsid w:val="00720D40"/>
    <w:rsid w:val="0073026D"/>
    <w:rsid w:val="007311B4"/>
    <w:rsid w:val="007318D4"/>
    <w:rsid w:val="00746551"/>
    <w:rsid w:val="0076552B"/>
    <w:rsid w:val="00765784"/>
    <w:rsid w:val="00785E76"/>
    <w:rsid w:val="00795786"/>
    <w:rsid w:val="007A4390"/>
    <w:rsid w:val="007B2320"/>
    <w:rsid w:val="007C65B0"/>
    <w:rsid w:val="007E3B8F"/>
    <w:rsid w:val="007E5CB7"/>
    <w:rsid w:val="007F1542"/>
    <w:rsid w:val="00814EED"/>
    <w:rsid w:val="00820615"/>
    <w:rsid w:val="008314D2"/>
    <w:rsid w:val="00834860"/>
    <w:rsid w:val="008660E7"/>
    <w:rsid w:val="00866858"/>
    <w:rsid w:val="008804AE"/>
    <w:rsid w:val="00894939"/>
    <w:rsid w:val="008B2F42"/>
    <w:rsid w:val="008E185F"/>
    <w:rsid w:val="008E5870"/>
    <w:rsid w:val="008F023B"/>
    <w:rsid w:val="008F7524"/>
    <w:rsid w:val="00904E16"/>
    <w:rsid w:val="00907C34"/>
    <w:rsid w:val="00927C62"/>
    <w:rsid w:val="00931A96"/>
    <w:rsid w:val="009705EB"/>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83D97"/>
    <w:rsid w:val="00B945C5"/>
    <w:rsid w:val="00BA0517"/>
    <w:rsid w:val="00BA20EA"/>
    <w:rsid w:val="00BB754E"/>
    <w:rsid w:val="00BC0A56"/>
    <w:rsid w:val="00BC2A01"/>
    <w:rsid w:val="00BF4E7F"/>
    <w:rsid w:val="00C23348"/>
    <w:rsid w:val="00C6454A"/>
    <w:rsid w:val="00C74052"/>
    <w:rsid w:val="00CB187A"/>
    <w:rsid w:val="00CD1843"/>
    <w:rsid w:val="00CD7C71"/>
    <w:rsid w:val="00D05246"/>
    <w:rsid w:val="00D1088B"/>
    <w:rsid w:val="00D123BB"/>
    <w:rsid w:val="00D156D2"/>
    <w:rsid w:val="00D167BF"/>
    <w:rsid w:val="00D24700"/>
    <w:rsid w:val="00D76415"/>
    <w:rsid w:val="00D77EC0"/>
    <w:rsid w:val="00D86943"/>
    <w:rsid w:val="00DA47B9"/>
    <w:rsid w:val="00E654BE"/>
    <w:rsid w:val="00E677A1"/>
    <w:rsid w:val="00E91E2F"/>
    <w:rsid w:val="00EA3546"/>
    <w:rsid w:val="00EB1AAC"/>
    <w:rsid w:val="00EB47AE"/>
    <w:rsid w:val="00EC34E1"/>
    <w:rsid w:val="00ED0AE1"/>
    <w:rsid w:val="00ED0F81"/>
    <w:rsid w:val="00EF394B"/>
    <w:rsid w:val="00F0234A"/>
    <w:rsid w:val="00F42EE0"/>
    <w:rsid w:val="00F52959"/>
    <w:rsid w:val="00F532D4"/>
    <w:rsid w:val="00F55884"/>
    <w:rsid w:val="00F63E98"/>
    <w:rsid w:val="00FB5399"/>
    <w:rsid w:val="00FC0450"/>
    <w:rsid w:val="00FC0D36"/>
    <w:rsid w:val="00FC536C"/>
    <w:rsid w:val="00FE1F8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05B9639"/>
  <w15:docId w15:val="{57DB6252-BFCA-4ADE-9B5C-4B3CABC0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24700"/>
    <w:rPr>
      <w:rFonts w:asciiTheme="minorHAnsi" w:eastAsiaTheme="minorEastAsia" w:hAnsiTheme="minorHAnsi" w:cstheme="minorBidi"/>
      <w:sz w:val="24"/>
      <w:szCs w:val="24"/>
    </w:rPr>
  </w:style>
  <w:style w:type="paragraph" w:customStyle="1" w:styleId="null">
    <w:name w:val="null"/>
    <w:basedOn w:val="Normal"/>
    <w:rsid w:val="006024E5"/>
    <w:pPr>
      <w:spacing w:before="100" w:beforeAutospacing="1" w:after="100" w:afterAutospacing="1"/>
    </w:pPr>
    <w:rPr>
      <w:rFonts w:ascii="Calibri" w:hAnsi="Calibri"/>
    </w:rPr>
  </w:style>
  <w:style w:type="character" w:customStyle="1" w:styleId="null1">
    <w:name w:val="null1"/>
    <w:basedOn w:val="DefaultParagraphFont"/>
    <w:rsid w:val="006024E5"/>
  </w:style>
  <w:style w:type="paragraph" w:styleId="BalloonText">
    <w:name w:val="Balloon Text"/>
    <w:basedOn w:val="Normal"/>
    <w:link w:val="BalloonTextChar"/>
    <w:uiPriority w:val="99"/>
    <w:semiHidden/>
    <w:unhideWhenUsed/>
    <w:rsid w:val="00695C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C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BE8E7-104F-40FF-92A3-B3219959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10987</Words>
  <Characters>59797</Characters>
  <Application>Microsoft Office Word</Application>
  <DocSecurity>0</DocSecurity>
  <Lines>1275</Lines>
  <Paragraphs>262</Paragraphs>
  <ScaleCrop>false</ScaleCrop>
  <HeadingPairs>
    <vt:vector size="2" baseType="variant">
      <vt:variant>
        <vt:lpstr>Title</vt:lpstr>
      </vt:variant>
      <vt:variant>
        <vt:i4>1</vt:i4>
      </vt:variant>
    </vt:vector>
  </HeadingPairs>
  <TitlesOfParts>
    <vt:vector size="1" baseType="lpstr">
      <vt:lpstr>2021-2022 Bill 464 Text of Previous Version (Jan. 13, 2021) - South Carolina Legislature Online</vt:lpstr>
    </vt:vector>
  </TitlesOfParts>
  <Company> </Company>
  <LinksUpToDate>false</LinksUpToDate>
  <CharactersWithSpaces>71068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464 Text of Previous Version (Apr. 21, 2021) - South Carolina Legislature Online</dc:title>
  <dc:subject/>
  <dc:creator>Maxine Henry</dc:creator>
  <cp:keywords/>
  <dc:description/>
  <cp:lastModifiedBy>David Brunson</cp:lastModifiedBy>
  <cp:revision>2</cp:revision>
  <cp:lastPrinted>2021-04-21T20:09:00Z</cp:lastPrinted>
  <dcterms:created xsi:type="dcterms:W3CDTF">2021-04-21T22:17:00Z</dcterms:created>
  <dcterms:modified xsi:type="dcterms:W3CDTF">2021-04-21T22:17:00Z</dcterms:modified>
</cp:coreProperties>
</file>