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5B" w14:textId="61D352D1"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1D0FD8" w14:textId="12A62FDB" w:rsidR="002C63FE" w:rsidRP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F3C315" w14:textId="06261C1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575F5C" w14:textId="21EA12CB" w:rsidR="005E3961" w:rsidRDefault="005E3961" w:rsidP="002C63FE">
      <w:pPr>
        <w:tabs>
          <w:tab w:val="right" w:pos="5933"/>
        </w:tabs>
        <w:suppressAutoHyphens/>
        <w:jc w:val="both"/>
        <w:rPr>
          <w:rFonts w:eastAsia="Times New Roman"/>
        </w:rPr>
      </w:pPr>
      <w:r>
        <w:rPr>
          <w:rFonts w:eastAsia="Times New Roman"/>
        </w:rPr>
        <w:t>COMMITTEE AMENDMENT ADOPTED AND AMENDED</w:t>
      </w:r>
    </w:p>
    <w:p w14:paraId="2BDFB536" w14:textId="274132EC" w:rsidR="005E3961" w:rsidRDefault="005E3961" w:rsidP="002C63FE">
      <w:pPr>
        <w:tabs>
          <w:tab w:val="right" w:pos="5933"/>
        </w:tabs>
        <w:suppressAutoHyphens/>
        <w:jc w:val="both"/>
        <w:rPr>
          <w:rFonts w:eastAsia="Times New Roman"/>
        </w:rPr>
      </w:pPr>
      <w:r>
        <w:rPr>
          <w:rFonts w:eastAsia="Times New Roman"/>
        </w:rPr>
        <w:t>March 10, 2021</w:t>
      </w:r>
    </w:p>
    <w:p w14:paraId="6E70B2E7" w14:textId="77777777" w:rsidR="005E3961" w:rsidRDefault="005E3961" w:rsidP="002C63FE">
      <w:pPr>
        <w:tabs>
          <w:tab w:val="right" w:pos="5933"/>
        </w:tabs>
        <w:suppressAutoHyphens/>
        <w:jc w:val="both"/>
        <w:rPr>
          <w:rFonts w:eastAsia="Times New Roman"/>
        </w:rPr>
      </w:pPr>
    </w:p>
    <w:p w14:paraId="24E5E36E" w14:textId="78D0699D" w:rsidR="002C63FE" w:rsidRPr="002C63FE" w:rsidRDefault="002C63FE" w:rsidP="002C63FE">
      <w:pPr>
        <w:tabs>
          <w:tab w:val="right" w:pos="5933"/>
        </w:tabs>
        <w:suppressAutoHyphens/>
        <w:jc w:val="both"/>
        <w:rPr>
          <w:rFonts w:eastAsia="Times New Roman"/>
        </w:rPr>
      </w:pPr>
      <w:r>
        <w:rPr>
          <w:rFonts w:eastAsia="Times New Roman"/>
        </w:rPr>
        <w:tab/>
      </w:r>
      <w:r>
        <w:rPr>
          <w:rFonts w:eastAsia="Times New Roman"/>
          <w:b/>
          <w:sz w:val="36"/>
        </w:rPr>
        <w:t>S. 506</w:t>
      </w:r>
    </w:p>
    <w:p w14:paraId="780D1D26" w14:textId="679B452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9D5C5" w14:textId="37203B5E"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and Fanning</w:t>
      </w:r>
    </w:p>
    <w:p w14:paraId="1C3EFFE7" w14:textId="6FB396E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17BA" w14:textId="4CCCF6CC" w:rsidR="002C63FE" w:rsidRDefault="002C63FE" w:rsidP="00FA688A">
      <w:pPr>
        <w:tabs>
          <w:tab w:val="right" w:pos="5933"/>
        </w:tabs>
        <w:suppressAutoHyphens/>
        <w:jc w:val="both"/>
        <w:rPr>
          <w:rFonts w:eastAsia="Times New Roman"/>
        </w:rPr>
      </w:pPr>
      <w:r>
        <w:rPr>
          <w:rFonts w:eastAsia="Times New Roman"/>
        </w:rPr>
        <w:t xml:space="preserve">S. Printed </w:t>
      </w:r>
      <w:r w:rsidR="005E3961">
        <w:rPr>
          <w:rFonts w:eastAsia="Times New Roman"/>
        </w:rPr>
        <w:t>3/10</w:t>
      </w:r>
      <w:r>
        <w:rPr>
          <w:rFonts w:eastAsia="Times New Roman"/>
        </w:rPr>
        <w:t>/21--S.</w:t>
      </w:r>
      <w:r w:rsidR="00FA688A">
        <w:rPr>
          <w:rFonts w:eastAsia="Times New Roman"/>
        </w:rPr>
        <w:tab/>
        <w:t>[SEC 3/11/21 1:30 PM]</w:t>
      </w:r>
    </w:p>
    <w:p w14:paraId="733AC707" w14:textId="27936D3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14:paraId="2F9EDBE1" w14:textId="4108A564" w:rsidR="002C63FE" w:rsidRDefault="002C63FE"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156ABF"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63FE"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1"/>
    </w:p>
    <w:p w14:paraId="67C5BCCF" w14:textId="67A49FAF" w:rsidR="00522CE0"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D155DEF" w14:textId="77777777" w:rsidR="005E3961"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4F27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44-1-143 of the 1976 Code is amended to read:</w:t>
      </w:r>
    </w:p>
    <w:p w14:paraId="1576D49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AC57288"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53C77331" w14:textId="77777777" w:rsidR="005E3961" w:rsidRPr="00FB4204"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w:t>
      </w:r>
      <w:r>
        <w:rPr>
          <w:lang w:val="en-PH"/>
        </w:rPr>
        <w:tab/>
        <w:t>‘</w:t>
      </w:r>
      <w:r w:rsidRPr="00FF4C7B">
        <w:rPr>
          <w:lang w:val="en-PH"/>
        </w:rPr>
        <w:t>Home</w:t>
      </w:r>
      <w:r>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w:t>
      </w:r>
      <w:r w:rsidRPr="00E87FE9">
        <w:rPr>
          <w:color w:val="000000" w:themeColor="text1"/>
          <w:u w:val="single" w:color="000000" w:themeColor="text1"/>
        </w:rPr>
        <w:t>tores</w:t>
      </w:r>
      <w:r w:rsidRPr="00E87FE9">
        <w:rPr>
          <w:lang w:val="en-PH"/>
        </w:rPr>
        <w:t xml:space="preserve">. </w:t>
      </w:r>
      <w:r w:rsidRPr="00E87FE9">
        <w:rPr>
          <w:u w:val="single"/>
          <w:lang w:val="en-PH"/>
        </w:rPr>
        <w:t>‘Home-based food production operation’ does not include preparing, processing, packaging, storing, or distributing aluminum canned goods or charcuterie boards.</w:t>
      </w:r>
    </w:p>
    <w:p w14:paraId="259B09F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47D97F6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7DF8666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3D7C95A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6F859EE6"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D2E5DFC" w14:textId="6978F961" w:rsidR="005E3961" w:rsidRPr="00FF4C7B" w:rsidRDefault="005E3961" w:rsidP="005E3961">
      <w:pPr>
        <w:tabs>
          <w:tab w:val="left" w:pos="356"/>
          <w:tab w:val="left" w:pos="916"/>
          <w:tab w:val="left" w:pos="3003"/>
          <w:tab w:val="left" w:pos="5090"/>
          <w:tab w:val="left" w:pos="7177"/>
        </w:tabs>
        <w:ind w:left="38"/>
        <w:jc w:val="both"/>
        <w:rPr>
          <w:rFonts w:eastAsia="Times New Roman"/>
          <w:sz w:val="20"/>
          <w:szCs w:val="20"/>
        </w:rPr>
      </w:pPr>
      <w:r w:rsidRPr="00FF4C7B">
        <w:rPr>
          <w:rFonts w:eastAsia="Times New Roman"/>
          <w:sz w:val="20"/>
          <w:szCs w:val="20"/>
        </w:rPr>
        <w:tab/>
      </w:r>
    </w:p>
    <w:p w14:paraId="19D5540A" w14:textId="7314150C" w:rsidR="005E3961" w:rsidRPr="005E3961" w:rsidRDefault="005E3961" w:rsidP="005E3961">
      <w:pPr>
        <w:tabs>
          <w:tab w:val="left" w:pos="356"/>
          <w:tab w:val="left" w:pos="3003"/>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25369E3" w14:textId="6898B0D1" w:rsidR="005E3961" w:rsidRPr="005E3961" w:rsidRDefault="005E3961" w:rsidP="005E3961">
      <w:pPr>
        <w:tabs>
          <w:tab w:val="left" w:pos="356"/>
          <w:tab w:val="left" w:pos="3003"/>
        </w:tabs>
        <w:ind w:left="38"/>
        <w:rPr>
          <w:rFonts w:eastAsia="Times New Roman"/>
          <w:sz w:val="20"/>
          <w:szCs w:val="20"/>
        </w:rPr>
      </w:pPr>
      <w:r>
        <w:rPr>
          <w:rFonts w:eastAsia="Times New Roman"/>
          <w:sz w:val="20"/>
          <w:szCs w:val="20"/>
        </w:rPr>
        <w:tab/>
      </w:r>
      <w:r>
        <w:rPr>
          <w:rFonts w:eastAsia="Times New Roman"/>
          <w:sz w:val="20"/>
          <w:szCs w:val="20"/>
        </w:rPr>
        <w:tab/>
      </w:r>
      <w:r w:rsidRPr="005E3961">
        <w:rPr>
          <w:rFonts w:eastAsia="Times New Roman"/>
          <w:sz w:val="20"/>
          <w:szCs w:val="20"/>
        </w:rPr>
        <w:t>4.6 or less</w:t>
      </w:r>
      <w:r w:rsidRPr="005E3961">
        <w:rPr>
          <w:rFonts w:ascii="Arial" w:eastAsia="Times New Roman" w:hAnsi="Arial" w:cs="Arial"/>
          <w:sz w:val="20"/>
          <w:szCs w:val="20"/>
        </w:rPr>
        <w:tab/>
      </w:r>
      <w:r w:rsidRPr="005E3961">
        <w:rPr>
          <w:rFonts w:eastAsia="Times New Roman"/>
          <w:sz w:val="20"/>
          <w:szCs w:val="20"/>
        </w:rPr>
        <w:t>&gt;4.6—5.6</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&gt;5.6</w:t>
      </w:r>
    </w:p>
    <w:p w14:paraId="5511EBC7" w14:textId="6495C82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(1)</w:t>
      </w:r>
      <w:r w:rsidRPr="005E3961">
        <w:rPr>
          <w:rFonts w:ascii="Arial" w:eastAsia="Times New Roman" w:hAnsi="Arial" w:cs="Arial"/>
          <w:sz w:val="20"/>
          <w:szCs w:val="20"/>
        </w:rPr>
        <w:tab/>
      </w:r>
      <w:r w:rsidRPr="005E3961">
        <w:rPr>
          <w:rFonts w:eastAsia="Times New Roman"/>
          <w:sz w:val="20"/>
          <w:szCs w:val="20"/>
        </w:rPr>
        <w:t>&lt;0.92</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p>
    <w:p w14:paraId="2B8F019F" w14:textId="2861237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(2)</w:t>
      </w:r>
      <w:r w:rsidRPr="005E3961">
        <w:rPr>
          <w:rFonts w:ascii="Arial" w:eastAsia="Times New Roman" w:hAnsi="Arial" w:cs="Arial"/>
          <w:sz w:val="20"/>
          <w:szCs w:val="20"/>
        </w:rPr>
        <w:tab/>
      </w:r>
      <w:r w:rsidRPr="005E3961">
        <w:rPr>
          <w:rFonts w:eastAsia="Times New Roman"/>
          <w:sz w:val="20"/>
          <w:szCs w:val="20"/>
        </w:rPr>
        <w:t>&gt;0.92—0.95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p>
    <w:p w14:paraId="283DF074" w14:textId="319A0AE2"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(3)</w:t>
      </w:r>
      <w:r w:rsidRPr="005E3961">
        <w:rPr>
          <w:rFonts w:ascii="Arial" w:eastAsia="Times New Roman" w:hAnsi="Arial" w:cs="Arial"/>
          <w:sz w:val="20"/>
          <w:szCs w:val="20"/>
        </w:rPr>
        <w:tab/>
      </w:r>
      <w:r w:rsidRPr="005E3961">
        <w:rPr>
          <w:rFonts w:eastAsia="Times New Roman"/>
          <w:sz w:val="20"/>
          <w:szCs w:val="20"/>
        </w:rPr>
        <w:t>&gt;0.95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r w:rsidRPr="005E3961">
        <w:rPr>
          <w:rFonts w:ascii="Arial" w:eastAsia="Times New Roman" w:hAnsi="Arial" w:cs="Arial"/>
          <w:sz w:val="20"/>
          <w:szCs w:val="20"/>
        </w:rPr>
        <w:tab/>
      </w:r>
      <w:r w:rsidRPr="005E3961">
        <w:rPr>
          <w:rFonts w:eastAsia="Times New Roman"/>
          <w:sz w:val="20"/>
          <w:szCs w:val="20"/>
        </w:rPr>
        <w:t>PHF</w:t>
      </w:r>
    </w:p>
    <w:p w14:paraId="6B3E54C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14635F2"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0D9069D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783950A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49D7A7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71373B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6EF0B3BE"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232C81B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7D7980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w:t>
      </w:r>
      <w:r w:rsidRPr="00DD2446">
        <w:rPr>
          <w:u w:val="single"/>
          <w:lang w:val="en-PH"/>
        </w:rPr>
        <w:t>,</w:t>
      </w:r>
      <w:r w:rsidRPr="00FF4C7B">
        <w:rPr>
          <w:lang w:val="en-PH"/>
        </w:rPr>
        <w:t xml:space="preserve"> but not limited to:</w:t>
      </w:r>
    </w:p>
    <w:p w14:paraId="3939321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6243BAD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B63375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85027F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061A945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4B8898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76807F9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3AABC09D"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6A090B2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77FD688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4FA0C87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6637053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67D12C6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5EA2836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Pr>
          <w:lang w:val="en-PH"/>
        </w:rPr>
        <w:noBreakHyphen/>
      </w:r>
      <w:r w:rsidRPr="00FF4C7B">
        <w:rPr>
          <w:lang w:val="en-PH"/>
        </w:rPr>
        <w:t xml:space="preserve">BASED FOOD PRODUCTION OPERATION THAT IS NOT </w:t>
      </w:r>
      <w:r w:rsidRPr="00B81ED0">
        <w:rPr>
          <w:lang w:val="en-PH"/>
        </w:rPr>
        <w:t>SUBJECT TO SOUTH CAROLINA'S FOOD SAFETY REGULATIONS.’</w:t>
      </w:r>
    </w:p>
    <w:p w14:paraId="1B97E189" w14:textId="77777777" w:rsidR="005E3961" w:rsidRPr="00B81ED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FF4C7B">
        <w:rPr>
          <w:lang w:val="en-PH"/>
        </w:rPr>
        <w:tab/>
        <w:t>(E)</w:t>
      </w:r>
      <w:r>
        <w:rPr>
          <w:lang w:val="en-PH"/>
        </w:rPr>
        <w:tab/>
      </w:r>
      <w:r w:rsidRPr="00FF4C7B">
        <w:rPr>
          <w:lang w:val="en-PH"/>
        </w:rPr>
        <w:t>Home</w:t>
      </w:r>
      <w:r>
        <w:rPr>
          <w:lang w:val="en-PH"/>
        </w:rPr>
        <w:noBreakHyphen/>
      </w:r>
      <w:r w:rsidRPr="00FF4C7B">
        <w:rPr>
          <w:lang w:val="en-PH"/>
        </w:rPr>
        <w:t>based food operations only may sell, or offer to sell, food items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Pr>
          <w:lang w:val="en-PH"/>
        </w:rPr>
        <w:noBreakHyphen/>
      </w:r>
      <w:r w:rsidRPr="00FF4C7B">
        <w:rPr>
          <w:lang w:val="en-PH"/>
        </w:rPr>
        <w:t>based food production operation must not be considered to be from an approved source, as required of a retail food establishment pursuant to Regulation 61.25.</w:t>
      </w:r>
      <w:r>
        <w:rPr>
          <w:lang w:val="en-PH"/>
        </w:rPr>
        <w:t xml:space="preserve"> </w:t>
      </w:r>
      <w:r w:rsidRPr="00E87FE9">
        <w:rPr>
          <w:u w:val="single"/>
          <w:lang w:val="en-PH"/>
        </w:rPr>
        <w:t>Any retail stores, including grocery stores, that sell or offer to sell home-based food products must post clearly visible signage indicating that home-based food products are not subject to commercial food regulations.</w:t>
      </w:r>
    </w:p>
    <w:p w14:paraId="2CB3F3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0E8F62D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2DCF8056" w14:textId="36E95BC9" w:rsidR="005E3961" w:rsidRPr="00E87FE9"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0C7B3FDB"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6F4D7B8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0A885152" w:rsidR="0098166A" w:rsidRPr="00522CE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98A7AA3" w14:textId="77777777" w:rsidR="00267C72" w:rsidRDefault="00267C72" w:rsidP="00267C72">
      <w:pPr>
        <w:suppressAutoHyphens/>
        <w:jc w:val="both"/>
        <w:rPr>
          <w:rFonts w:eastAsia="Times New Roman"/>
        </w:rPr>
      </w:pPr>
    </w:p>
    <w:sectPr w:rsidR="00267C72"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3244AD-1DA5-4DCE-9390-3B522CD9E585}"/>
    <w:embedBold r:id="rId2" w:fontKey="{B7937C1F-C7E2-4E7C-87DD-C0A29C035322}"/>
  </w:font>
  <w:font w:name="Calibri">
    <w:panose1 w:val="020F0502020204030204"/>
    <w:charset w:val="00"/>
    <w:family w:val="swiss"/>
    <w:pitch w:val="variable"/>
    <w:sig w:usb0="E0002EFF" w:usb1="C000247B" w:usb2="00000009" w:usb3="00000000" w:csb0="000001FF" w:csb1="00000000"/>
    <w:embedRegular r:id="rId3" w:fontKey="{C7734D5F-C108-4977-A90F-26D7FF88A8F8}"/>
    <w:embedBold r:id="rId4" w:fontKey="{21B46CBD-7393-4DCC-A5CC-069E94966FCD}"/>
  </w:font>
  <w:font w:name="Segoe UI">
    <w:panose1 w:val="020B0502040204020203"/>
    <w:charset w:val="00"/>
    <w:family w:val="swiss"/>
    <w:pitch w:val="variable"/>
    <w:sig w:usb0="E4002EFF" w:usb1="C000E47F" w:usb2="00000009" w:usb3="00000000" w:csb0="000001FF" w:csb1="00000000"/>
    <w:embedRegular r:id="rId5" w:fontKey="{8F88DAF6-7F2C-4FDC-9900-20169C933D63}"/>
  </w:font>
  <w:font w:name="Arial">
    <w:panose1 w:val="020B0604020202020204"/>
    <w:charset w:val="00"/>
    <w:family w:val="swiss"/>
    <w:pitch w:val="variable"/>
    <w:sig w:usb0="E0002EFF" w:usb1="C000785B" w:usb2="00000009" w:usb3="00000000" w:csb0="000001FF" w:csb1="00000000"/>
    <w:embedRegular r:id="rId6" w:fontKey="{844A5550-A114-405E-AFBC-FAD9882B84F1}"/>
  </w:font>
  <w:font w:name="Cambria">
    <w:panose1 w:val="02040503050406030204"/>
    <w:charset w:val="00"/>
    <w:family w:val="roman"/>
    <w:pitch w:val="variable"/>
    <w:sig w:usb0="E00006FF" w:usb1="420024FF" w:usb2="02000000" w:usb3="00000000" w:csb0="0000019F" w:csb1="00000000"/>
    <w:embedRegular r:id="rId7" w:fontKey="{2B48CDDA-B589-43B8-934E-150E19A8CE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6AE43A63"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267C7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588FB1CD"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267C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67C72"/>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813A2"/>
    <w:rsid w:val="004911DE"/>
    <w:rsid w:val="004952FA"/>
    <w:rsid w:val="004B6A22"/>
    <w:rsid w:val="004D7F37"/>
    <w:rsid w:val="00522CE0"/>
    <w:rsid w:val="00541951"/>
    <w:rsid w:val="00565148"/>
    <w:rsid w:val="00570403"/>
    <w:rsid w:val="00577450"/>
    <w:rsid w:val="005824A9"/>
    <w:rsid w:val="00593361"/>
    <w:rsid w:val="005A413B"/>
    <w:rsid w:val="005A5017"/>
    <w:rsid w:val="005A648C"/>
    <w:rsid w:val="005E3961"/>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670D7"/>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D2446"/>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A688A"/>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1139</Words>
  <Characters>6200</Characters>
  <Application>Microsoft Office Word</Application>
  <DocSecurity>0</DocSecurity>
  <Lines>171</Lines>
  <Paragraphs>54</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(Mar. 11, 2021) - South Carolina Legislature Online</dc:title>
  <dc:subject/>
  <dc:creator>Rebecca Landau</dc:creator>
  <cp:keywords/>
  <dc:description/>
  <cp:lastModifiedBy>Danny Crook</cp:lastModifiedBy>
  <cp:revision>2</cp:revision>
  <cp:lastPrinted>2021-03-10T18:56:00Z</cp:lastPrinted>
  <dcterms:created xsi:type="dcterms:W3CDTF">2021-03-11T18:31:00Z</dcterms:created>
  <dcterms:modified xsi:type="dcterms:W3CDTF">2021-03-11T18:31:00Z</dcterms:modified>
</cp:coreProperties>
</file>