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A1919" w:rsidRP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w:t>
      </w:r>
      <w:r w:rsidR="00262A2E">
        <w:rPr>
          <w:rFonts w:eastAsia="Times New Roman"/>
        </w:rPr>
        <w:t>TTEE AMENDMENT ADOPTED</w:t>
      </w:r>
    </w:p>
    <w:p w:rsidR="00BA1919" w:rsidRDefault="00262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w:t>
      </w:r>
      <w:r w:rsidR="00BA1919">
        <w:rPr>
          <w:rFonts w:eastAsia="Times New Roman"/>
        </w:rPr>
        <w:t>, 2021</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Pr="00BA1919" w:rsidRDefault="00BA1919" w:rsidP="00BA1919">
      <w:pPr>
        <w:tabs>
          <w:tab w:val="right" w:pos="5933"/>
        </w:tabs>
        <w:suppressAutoHyphens/>
        <w:jc w:val="both"/>
        <w:rPr>
          <w:rFonts w:eastAsia="Times New Roman"/>
        </w:rPr>
      </w:pPr>
      <w:r>
        <w:rPr>
          <w:rFonts w:eastAsia="Times New Roman"/>
        </w:rPr>
        <w:tab/>
      </w:r>
      <w:r>
        <w:rPr>
          <w:rFonts w:eastAsia="Times New Roman"/>
          <w:b/>
          <w:sz w:val="36"/>
        </w:rPr>
        <w:t>S. 677</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Goldfinch, Jackson, Shealy, Grooms, Gambrell, Matthews, Turner, Alexander, Hutto, Talley, Kimpson, Mc</w:t>
      </w:r>
      <w:r w:rsidR="007D61C2">
        <w:t>Elveen, Stephens, M. Johnson,</w:t>
      </w:r>
      <w:r>
        <w:t xml:space="preserve"> Williams</w:t>
      </w:r>
      <w:r w:rsidR="00262A2E">
        <w:t>,</w:t>
      </w:r>
      <w:r w:rsidR="007D61C2">
        <w:t xml:space="preserve"> Kimbrell</w:t>
      </w:r>
      <w:r w:rsidR="00262A2E">
        <w:t>, Campsen, Sabb, and Climer</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262A2E" w:rsidP="007D61C2">
      <w:pPr>
        <w:tabs>
          <w:tab w:val="right" w:pos="5933"/>
        </w:tabs>
        <w:suppressAutoHyphens/>
        <w:jc w:val="both"/>
        <w:rPr>
          <w:rFonts w:eastAsia="Times New Roman"/>
        </w:rPr>
      </w:pPr>
      <w:r>
        <w:rPr>
          <w:rFonts w:eastAsia="Times New Roman"/>
        </w:rPr>
        <w:t>S. Printed 4/7</w:t>
      </w:r>
      <w:r w:rsidR="00BA1919">
        <w:rPr>
          <w:rFonts w:eastAsia="Times New Roman"/>
        </w:rPr>
        <w:t>/21--S.</w:t>
      </w:r>
      <w:r>
        <w:rPr>
          <w:rFonts w:eastAsia="Times New Roman"/>
        </w:rPr>
        <w:tab/>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1919" w:rsidSect="00BA19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84841" w:rsidRPr="00522CE0" w:rsidRDefault="00F8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0E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12-2-10</w:t>
      </w:r>
      <w:r w:rsidR="009D3035">
        <w:rPr>
          <w:rFonts w:eastAsia="Times New Roman"/>
        </w:rPr>
        <w:t>0</w:t>
      </w:r>
      <w:r>
        <w:rPr>
          <w:rFonts w:eastAsia="Times New Roman"/>
        </w:rPr>
        <w:t xml:space="preserve"> OF THE 1976 CODE, RELATING TO TAX CREDITS, TO PROVIDE FOR THE ALLOCATION OF A TAX CREDIT OR UNUSED CREDIT AMOUNT CARRIED FORWARD </w:t>
      </w:r>
      <w:r w:rsidR="008560B8">
        <w:rPr>
          <w:rFonts w:eastAsia="Times New Roman"/>
        </w:rPr>
        <w:t xml:space="preserve">THAT IS </w:t>
      </w:r>
      <w:r>
        <w:rPr>
          <w:rFonts w:eastAsia="Times New Roman"/>
        </w:rPr>
        <w:t>EARNED BY A PARTNERSHIP OR LIMITED LIABILITY COMPANY TAXED AS A PARTNERSHIP.</w:t>
      </w:r>
      <w:bookmarkEnd w:id="1"/>
    </w:p>
    <w:p w:rsidR="00262A2E" w:rsidRDefault="00262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62A2E" w:rsidRDefault="00262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3772" w:rsidRDefault="0060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6D9" w:rsidRDefault="006316D9" w:rsidP="0063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12-2-100 of the 1976 Code is amended to read:</w:t>
      </w:r>
    </w:p>
    <w:p w:rsidR="006316D9" w:rsidRDefault="006316D9" w:rsidP="0063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6D9" w:rsidRDefault="006316D9" w:rsidP="0063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12-2-100.</w:t>
      </w:r>
      <w:r>
        <w:rPr>
          <w:rFonts w:eastAsia="Times New Roman"/>
        </w:rPr>
        <w:tab/>
      </w:r>
      <w:r>
        <w:rPr>
          <w:rFonts w:eastAsia="Times New Roman"/>
          <w:u w:val="single"/>
        </w:rPr>
        <w:t>(A)</w:t>
      </w:r>
      <w:r>
        <w:rPr>
          <w:rFonts w:eastAsia="Times New Roman"/>
        </w:rPr>
        <w:tab/>
        <w:t>Unless otherwise provided by law, a tax credit administered by the department must be used in the year it is generated and must not be refunded.</w:t>
      </w:r>
    </w:p>
    <w:p w:rsidR="00CB66B8" w:rsidRPr="00CB66B8" w:rsidRDefault="006316D9" w:rsidP="0063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62A2E" w:rsidRPr="00AB60F4">
        <w:rPr>
          <w:rFonts w:eastAsia="Times New Roman"/>
          <w:u w:val="single"/>
        </w:rPr>
        <w:t>(B)</w:t>
      </w:r>
      <w:r w:rsidR="00262A2E" w:rsidRPr="00AB60F4">
        <w:rPr>
          <w:rFonts w:eastAsia="Times New Roman"/>
        </w:rPr>
        <w:tab/>
      </w:r>
      <w:r w:rsidR="00262A2E" w:rsidRPr="00AB60F4">
        <w:rPr>
          <w:rFonts w:eastAsia="Times New Roman"/>
          <w:u w:val="single"/>
        </w:rPr>
        <w:t>A tax credit earned by a partnership or limited liability company taxed as a partnership pursuant to Section 12-6-3795, including any unused credit amount carried forward, may be passed through to the partners or members and may be allocated among any of its partners or members on an annual basis, including, without limitation, an allocation of the entire credit to any partner or member who was a partner or member at any time in the year in which the credit or unused carryforward was allocated. The allocation must be allowed without regard to any provision of the Internal Revenue Code, or regulation promulgated pursuant to it, that may be interpreted as contrary to the allocation, including, without limitation, the treatment of the allocation as a disguised sale.</w:t>
      </w:r>
      <w:r w:rsidR="00262A2E" w:rsidRPr="00AB60F4">
        <w:rPr>
          <w:rFonts w:eastAsia="Times New Roman"/>
        </w:rPr>
        <w:t>”</w:t>
      </w: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E7A" w:rsidRPr="00522CE0"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D3035">
        <w:rPr>
          <w:rFonts w:eastAsia="Times New Roman"/>
        </w:rPr>
        <w:t>2</w:t>
      </w:r>
      <w:r>
        <w:rPr>
          <w:rFonts w:eastAsia="Times New Roman"/>
        </w:rPr>
        <w:t>.</w:t>
      </w:r>
      <w:r>
        <w:rPr>
          <w:rFonts w:eastAsia="Times New Roman"/>
        </w:rPr>
        <w:tab/>
        <w:t>This act takes effect upon approval by the Governor</w:t>
      </w:r>
      <w:r w:rsidR="00CB66B8">
        <w:rPr>
          <w:rFonts w:eastAsia="Times New Roman"/>
        </w:rPr>
        <w:t xml:space="preserve"> and applies to </w:t>
      </w:r>
      <w:r w:rsidR="009D3035">
        <w:rPr>
          <w:rFonts w:eastAsia="Times New Roman"/>
        </w:rPr>
        <w:t xml:space="preserve">a </w:t>
      </w:r>
      <w:r w:rsidR="00CB66B8">
        <w:rPr>
          <w:rFonts w:eastAsia="Times New Roman"/>
        </w:rPr>
        <w:t>qualified project in service after January 1, 2020</w:t>
      </w:r>
      <w:r w:rsidR="007D61C2">
        <w:rPr>
          <w:rFonts w:eastAsia="Times New Roman"/>
        </w:rPr>
        <w:t>,</w:t>
      </w:r>
      <w:r w:rsidR="00CB66B8">
        <w:rPr>
          <w:rFonts w:eastAsia="Times New Roman"/>
        </w:rPr>
        <w:t xml:space="preserve"> </w:t>
      </w:r>
      <w:r w:rsidR="00CB66B8">
        <w:rPr>
          <w:rFonts w:eastAsia="Times New Roman"/>
        </w:rPr>
        <w:lastRenderedPageBreak/>
        <w:t>but before December 31, 2030</w:t>
      </w:r>
      <w:r w:rsidR="007D61C2">
        <w:rPr>
          <w:rFonts w:eastAsia="Times New Roman"/>
        </w:rPr>
        <w:t>,</w:t>
      </w:r>
      <w:r w:rsidR="00CB66B8">
        <w:rPr>
          <w:rFonts w:eastAsia="Times New Roman"/>
        </w:rPr>
        <w:t xml:space="preserve"> if the project </w:t>
      </w:r>
      <w:r w:rsidR="009D3035">
        <w:rPr>
          <w:rFonts w:eastAsia="Times New Roman"/>
        </w:rPr>
        <w:t xml:space="preserve">is </w:t>
      </w:r>
      <w:r w:rsidR="00CB66B8">
        <w:rPr>
          <w:rFonts w:eastAsia="Times New Roman"/>
        </w:rPr>
        <w:t>issued an eligibility statement after May 14, 2020</w:t>
      </w:r>
      <w:r>
        <w:rPr>
          <w:rFonts w:eastAsia="Times New Roman"/>
        </w:rPr>
        <w:t>.</w:t>
      </w:r>
    </w:p>
    <w:p w:rsidR="0030530D" w:rsidRDefault="00413F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1574" w:rsidRDefault="007A1574" w:rsidP="007A1574">
      <w:pPr>
        <w:suppressAutoHyphens/>
        <w:jc w:val="both"/>
        <w:rPr>
          <w:rFonts w:eastAsia="Times New Roman"/>
        </w:rPr>
      </w:pPr>
    </w:p>
    <w:sectPr w:rsidR="007A1574" w:rsidSect="00BA19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6B8" w:rsidRDefault="00CB66B8" w:rsidP="00522CE0">
      <w:r>
        <w:separator/>
      </w:r>
    </w:p>
  </w:endnote>
  <w:endnote w:type="continuationSeparator" w:id="0">
    <w:p w:rsidR="00CB66B8" w:rsidRDefault="00CB66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45D9A7-859C-4EF1-9792-D2C9A0C35F82}"/>
    <w:embedBold r:id="rId2" w:fontKey="{82A0ADB9-F951-4417-B1B4-93D1DAEFB374}"/>
  </w:font>
  <w:font w:name="Calibri">
    <w:panose1 w:val="020F0502020204030204"/>
    <w:charset w:val="00"/>
    <w:family w:val="swiss"/>
    <w:pitch w:val="variable"/>
    <w:sig w:usb0="E0002EFF" w:usb1="C000247B" w:usb2="00000009" w:usb3="00000000" w:csb0="000001FF" w:csb1="00000000"/>
    <w:embedRegular r:id="rId3" w:fontKey="{620CA9C1-D849-4116-A69F-ED484CC5DB38}"/>
  </w:font>
  <w:font w:name="Segoe UI">
    <w:panose1 w:val="020B0502040204020203"/>
    <w:charset w:val="00"/>
    <w:family w:val="swiss"/>
    <w:pitch w:val="variable"/>
    <w:sig w:usb0="E4002EFF" w:usb1="C000E47F" w:usb2="00000009" w:usb3="00000000" w:csb0="000001FF" w:csb1="00000000"/>
    <w:embedRegular r:id="rId4" w:fontKey="{11212018-D335-4578-8685-7958D6EF20B0}"/>
  </w:font>
  <w:font w:name="Cambria">
    <w:panose1 w:val="02040503050406030204"/>
    <w:charset w:val="00"/>
    <w:family w:val="roman"/>
    <w:pitch w:val="variable"/>
    <w:sig w:usb0="E00006FF" w:usb1="420024FF" w:usb2="02000000" w:usb3="00000000" w:csb0="0000019F" w:csb1="00000000"/>
    <w:embedRegular r:id="rId5" w:fontKey="{614CD5C7-6BE3-4A51-A4B0-7B80DC7888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30D" w:rsidRPr="00F84841" w:rsidRDefault="00F84841" w:rsidP="00F84841">
    <w:pPr>
      <w:pStyle w:val="Footer"/>
      <w:tabs>
        <w:tab w:val="clear" w:pos="4680"/>
        <w:tab w:val="clear" w:pos="9360"/>
        <w:tab w:val="center" w:pos="2995"/>
      </w:tabs>
      <w:spacing w:before="120"/>
    </w:pPr>
    <w:r>
      <w:t>[677</w:t>
    </w:r>
    <w:r w:rsidR="00BA1919">
      <w:t>-</w:t>
    </w:r>
    <w:r w:rsidR="00BA1919">
      <w:fldChar w:fldCharType="begin"/>
    </w:r>
    <w:r w:rsidR="00BA1919">
      <w:instrText xml:space="preserve"> PAGE  \* MERGEFORMAT </w:instrText>
    </w:r>
    <w:r w:rsidR="00BA1919">
      <w:fldChar w:fldCharType="separate"/>
    </w:r>
    <w:r w:rsidR="00AB60F4">
      <w:rPr>
        <w:noProof/>
      </w:rPr>
      <w:t>1</w:t>
    </w:r>
    <w:r w:rsidR="00BA1919">
      <w:fldChar w:fldCharType="end"/>
    </w:r>
    <w:r w:rsidR="00BA19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19" w:rsidRPr="00F84841" w:rsidRDefault="00BA1919" w:rsidP="00F84841">
    <w:pPr>
      <w:pStyle w:val="Footer"/>
      <w:tabs>
        <w:tab w:val="clear" w:pos="4680"/>
        <w:tab w:val="clear" w:pos="9360"/>
        <w:tab w:val="center" w:pos="2995"/>
      </w:tabs>
      <w:spacing w:before="120"/>
    </w:pPr>
    <w:r>
      <w:t>[677]</w:t>
    </w:r>
    <w:r>
      <w:tab/>
    </w:r>
    <w:r>
      <w:fldChar w:fldCharType="begin"/>
    </w:r>
    <w:r>
      <w:instrText xml:space="preserve"> PAGE  \* MERGEFORMAT </w:instrText>
    </w:r>
    <w:r>
      <w:fldChar w:fldCharType="separate"/>
    </w:r>
    <w:r w:rsidR="007A15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6B8" w:rsidRDefault="00CB66B8" w:rsidP="00522CE0">
      <w:r>
        <w:separator/>
      </w:r>
    </w:p>
  </w:footnote>
  <w:footnote w:type="continuationSeparator" w:id="0">
    <w:p w:rsidR="00CB66B8" w:rsidRDefault="00CB66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AX .SP.TD"/>
    <w:docVar w:name="CoverAttorneyInitials" w:val="SP"/>
    <w:docVar w:name="CoverAttorneyLastName" w:val="Parrish"/>
    <w:docVar w:name="CoverBillType" w:val="b"/>
    <w:docVar w:name="CoverSenator" w:val="TD"/>
    <w:docVar w:name="dvBillNumber" w:val="677"/>
    <w:docVar w:name="dvBillNumberPrefix" w:val="S. "/>
    <w:docVar w:name="dvOriginalBody" w:val="Senate"/>
    <w:docVar w:name="fulldraftpath" w:val="L:\S-RES\TD\012TAX .SP.TD.DOCX"/>
    <w:docVar w:name="NameofBody" w:val="S"/>
    <w:docVar w:name="vgroup2" w:val="S-RES"/>
  </w:docVars>
  <w:rsids>
    <w:rsidRoot w:val="002A0E7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2A2E"/>
    <w:rsid w:val="002A0E7A"/>
    <w:rsid w:val="002C1321"/>
    <w:rsid w:val="002C2031"/>
    <w:rsid w:val="002C51E2"/>
    <w:rsid w:val="002C5896"/>
    <w:rsid w:val="002D3BED"/>
    <w:rsid w:val="002D4BCD"/>
    <w:rsid w:val="0030530D"/>
    <w:rsid w:val="00307C2B"/>
    <w:rsid w:val="00315D04"/>
    <w:rsid w:val="00361EEA"/>
    <w:rsid w:val="00383247"/>
    <w:rsid w:val="00394D12"/>
    <w:rsid w:val="003A117C"/>
    <w:rsid w:val="003D6E2B"/>
    <w:rsid w:val="003E7597"/>
    <w:rsid w:val="00413EBF"/>
    <w:rsid w:val="00413FDC"/>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3772"/>
    <w:rsid w:val="006316D9"/>
    <w:rsid w:val="006A1802"/>
    <w:rsid w:val="006C0CBB"/>
    <w:rsid w:val="006C74EA"/>
    <w:rsid w:val="006F56CF"/>
    <w:rsid w:val="00720D40"/>
    <w:rsid w:val="007318D4"/>
    <w:rsid w:val="00765784"/>
    <w:rsid w:val="007A1574"/>
    <w:rsid w:val="007A4390"/>
    <w:rsid w:val="007C2B9E"/>
    <w:rsid w:val="007D61C2"/>
    <w:rsid w:val="007E5CB7"/>
    <w:rsid w:val="008314D2"/>
    <w:rsid w:val="008560B8"/>
    <w:rsid w:val="00870F6F"/>
    <w:rsid w:val="008B2F42"/>
    <w:rsid w:val="008B343E"/>
    <w:rsid w:val="008C3697"/>
    <w:rsid w:val="008E185F"/>
    <w:rsid w:val="008F023B"/>
    <w:rsid w:val="00903144"/>
    <w:rsid w:val="00904E16"/>
    <w:rsid w:val="009162B3"/>
    <w:rsid w:val="00927C62"/>
    <w:rsid w:val="00983951"/>
    <w:rsid w:val="00984124"/>
    <w:rsid w:val="00984640"/>
    <w:rsid w:val="00995C37"/>
    <w:rsid w:val="009C118A"/>
    <w:rsid w:val="009D3035"/>
    <w:rsid w:val="00A02011"/>
    <w:rsid w:val="00A4011E"/>
    <w:rsid w:val="00A86015"/>
    <w:rsid w:val="00A9594E"/>
    <w:rsid w:val="00AB60F4"/>
    <w:rsid w:val="00AE59C8"/>
    <w:rsid w:val="00B10098"/>
    <w:rsid w:val="00B5790D"/>
    <w:rsid w:val="00B945C5"/>
    <w:rsid w:val="00BA1919"/>
    <w:rsid w:val="00BA20EA"/>
    <w:rsid w:val="00BB5AFC"/>
    <w:rsid w:val="00BC026E"/>
    <w:rsid w:val="00BC0A56"/>
    <w:rsid w:val="00C45366"/>
    <w:rsid w:val="00C57023"/>
    <w:rsid w:val="00C74052"/>
    <w:rsid w:val="00CB187A"/>
    <w:rsid w:val="00CB66B8"/>
    <w:rsid w:val="00CC0EC7"/>
    <w:rsid w:val="00CC251A"/>
    <w:rsid w:val="00CF2C98"/>
    <w:rsid w:val="00D1088B"/>
    <w:rsid w:val="00D1286F"/>
    <w:rsid w:val="00D14DE6"/>
    <w:rsid w:val="00D156D2"/>
    <w:rsid w:val="00D35486"/>
    <w:rsid w:val="00D53E29"/>
    <w:rsid w:val="00D72908"/>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484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F8AEFA0-60F5-4EF3-82A4-E877EEAA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3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0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321</Words>
  <Characters>1637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2021-2022 Bill 677 Text of Previous Version (Mar. 16, 2021) - South Carolina Legislature Online</vt:lpstr>
    </vt:vector>
  </TitlesOfParts>
  <Company>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677 Text of Previous Version (Apr. 7, 2021) - South Carolina Legislature Online</dc:title>
  <dc:subject/>
  <dc:creator>Sara Parrish</dc:creator>
  <cp:keywords/>
  <dc:description/>
  <cp:lastModifiedBy>David Brunson</cp:lastModifiedBy>
  <cp:revision>2</cp:revision>
  <cp:lastPrinted>2021-04-07T19:47:00Z</cp:lastPrinted>
  <dcterms:created xsi:type="dcterms:W3CDTF">2021-04-07T23:41:00Z</dcterms:created>
  <dcterms:modified xsi:type="dcterms:W3CDTF">2021-04-07T23:41:00Z</dcterms:modified>
</cp:coreProperties>
</file>