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C6F" w14:textId="5388F62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8593D98" w14:textId="088DF274" w:rsidR="00675F19" w:rsidRP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00C9D1" w14:textId="3A7D4885"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3DFF8" w14:textId="6B7783CF"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13F8C0F" w14:textId="16C1F4FB"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675F19">
        <w:rPr>
          <w:rFonts w:eastAsia="Times New Roman"/>
        </w:rPr>
        <w:t>, 2022</w:t>
      </w:r>
    </w:p>
    <w:p w14:paraId="1B11AD4C" w14:textId="5B7EDE69"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73B89" w14:textId="40C578EC" w:rsidR="00675F19" w:rsidRPr="00675F19" w:rsidRDefault="00675F19" w:rsidP="00675F19">
      <w:pPr>
        <w:tabs>
          <w:tab w:val="right" w:pos="5933"/>
        </w:tabs>
        <w:suppressAutoHyphens/>
        <w:jc w:val="both"/>
        <w:rPr>
          <w:rFonts w:eastAsia="Times New Roman"/>
        </w:rPr>
      </w:pPr>
      <w:r>
        <w:rPr>
          <w:rFonts w:eastAsia="Times New Roman"/>
        </w:rPr>
        <w:tab/>
      </w:r>
      <w:r>
        <w:rPr>
          <w:rFonts w:eastAsia="Times New Roman"/>
          <w:b/>
          <w:sz w:val="36"/>
        </w:rPr>
        <w:t>S. 906</w:t>
      </w:r>
    </w:p>
    <w:p w14:paraId="43903B94" w14:textId="26582E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5F14" w14:textId="344FFF0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747E47D" w14:textId="1D0299FD"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A2EFB" w14:textId="4972A39F" w:rsidR="00675F19" w:rsidRDefault="00A0342B" w:rsidP="00EC403A">
      <w:pPr>
        <w:tabs>
          <w:tab w:val="right" w:pos="5933"/>
        </w:tabs>
        <w:suppressAutoHyphens/>
        <w:jc w:val="both"/>
        <w:rPr>
          <w:rFonts w:eastAsia="Times New Roman"/>
        </w:rPr>
      </w:pPr>
      <w:r>
        <w:rPr>
          <w:rFonts w:eastAsia="Times New Roman"/>
        </w:rPr>
        <w:t>S. Printed 3/31</w:t>
      </w:r>
      <w:r w:rsidR="00675F19">
        <w:rPr>
          <w:rFonts w:eastAsia="Times New Roman"/>
        </w:rPr>
        <w:t>/22--S.</w:t>
      </w:r>
      <w:r w:rsidR="00EC403A">
        <w:rPr>
          <w:rFonts w:eastAsia="Times New Roman"/>
        </w:rPr>
        <w:tab/>
        <w:t xml:space="preserve">[SEC </w:t>
      </w:r>
      <w:r w:rsidR="00F94BB4">
        <w:rPr>
          <w:rFonts w:eastAsia="Times New Roman"/>
        </w:rPr>
        <w:t>4</w:t>
      </w:r>
      <w:r w:rsidR="00EC403A">
        <w:rPr>
          <w:rFonts w:eastAsia="Times New Roman"/>
        </w:rPr>
        <w:t>/1/22 4:03 PM]</w:t>
      </w:r>
    </w:p>
    <w:p w14:paraId="4F559431" w14:textId="42C3C308"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D94F3DF" w14:textId="6E154676"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95A7F5" w14:textId="581A47C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2D3BC" w14:textId="629BCB03"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BBAA3C6"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2CFC"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F1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bookmarkEnd w:id="1"/>
    </w:p>
    <w:p w14:paraId="0529A17A" w14:textId="255B73B3" w:rsidR="00522CE0"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C6D413C" w14:textId="77777777" w:rsidR="00A0342B"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1EA9E079" w:rsidR="00F549C3"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76154A56" w14:textId="77777777" w:rsidR="002F2524" w:rsidRPr="00386CCB" w:rsidRDefault="002F2524"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2D13D3C2"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D34BE6">
        <w:rPr>
          <w:color w:val="000000" w:themeColor="text1"/>
          <w:u w:color="000000" w:themeColor="text1"/>
        </w:rPr>
        <w:t xml:space="preserve"> </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lastRenderedPageBreak/>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the vulnerable adult through cunning arts or devices that delude the vulnerable adult and cause him </w:t>
      </w:r>
      <w:r>
        <w:rPr>
          <w:color w:val="000000" w:themeColor="text1"/>
          <w:u w:color="000000" w:themeColor="text1"/>
        </w:rPr>
        <w:t>to lose money or other property; or</w:t>
      </w:r>
    </w:p>
    <w:p w14:paraId="080C34F3" w14:textId="77777777" w:rsidR="00A0342B" w:rsidRPr="00555D56" w:rsidRDefault="00F549C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 xml:space="preserve">child relationship, leads to </w:t>
      </w:r>
      <w:r w:rsidRPr="00555D56">
        <w:rPr>
          <w:color w:val="000000" w:themeColor="text1"/>
          <w:u w:val="single" w:color="000000" w:themeColor="text1"/>
        </w:rPr>
        <w:t xml:space="preserve">a deceptive or exploitive relationship, or isolates the vulnerable </w:t>
      </w:r>
      <w:r w:rsidR="00A0342B" w:rsidRPr="00555D56">
        <w:rPr>
          <w:color w:val="000000" w:themeColor="text1"/>
          <w:u w:val="single" w:color="000000" w:themeColor="text1"/>
        </w:rPr>
        <w:t>adult from family or friends; or</w:t>
      </w:r>
    </w:p>
    <w:p w14:paraId="5757FFF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555D56">
        <w:rPr>
          <w:rFonts w:eastAsia="Times New Roman"/>
          <w:snapToGrid w:val="0"/>
          <w:szCs w:val="20"/>
        </w:rPr>
        <w:tab/>
      </w:r>
      <w:r w:rsidRPr="00555D56">
        <w:rPr>
          <w:rFonts w:eastAsia="Times New Roman"/>
          <w:snapToGrid w:val="0"/>
          <w:szCs w:val="20"/>
        </w:rPr>
        <w:tab/>
      </w:r>
      <w:r w:rsidRPr="00555D56">
        <w:rPr>
          <w:rFonts w:eastAsia="Times New Roman"/>
          <w:snapToGrid w:val="0"/>
          <w:szCs w:val="20"/>
        </w:rPr>
        <w:tab/>
      </w:r>
      <w:r w:rsidRPr="00555D56">
        <w:rPr>
          <w:color w:val="000000" w:themeColor="text1"/>
          <w:u w:val="single" w:color="000000" w:themeColor="text1"/>
        </w:rPr>
        <w:t>(e)</w:t>
      </w:r>
      <w:r w:rsidRPr="00555D56">
        <w:rPr>
          <w:color w:val="000000" w:themeColor="text1"/>
        </w:rPr>
        <w:tab/>
      </w:r>
      <w:r w:rsidRPr="00555D56">
        <w:rPr>
          <w:color w:val="000000" w:themeColor="text1"/>
          <w:u w:val="single" w:color="000000" w:themeColor="text1"/>
        </w:rPr>
        <w:t>any unauthorized video or photographic recordation of a vulnerable adult, regardless of whether the vulnerable adult is aware of the recordation.</w:t>
      </w:r>
    </w:p>
    <w:p w14:paraId="72E7B39D" w14:textId="1DB4666E" w:rsidR="006D7B55"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55D56">
        <w:rPr>
          <w:rFonts w:eastAsia="Times New Roman"/>
          <w:snapToGrid w:val="0"/>
          <w:szCs w:val="20"/>
        </w:rPr>
        <w:tab/>
      </w:r>
      <w:r w:rsidRPr="00555D56">
        <w:rPr>
          <w:rFonts w:eastAsia="Times New Roman"/>
          <w:snapToGrid w:val="0"/>
          <w:szCs w:val="20"/>
        </w:rPr>
        <w:tab/>
        <w:t>(4)</w:t>
      </w:r>
      <w:r w:rsidRPr="00555D56">
        <w:rPr>
          <w:rFonts w:eastAsia="Times New Roman"/>
          <w:snapToGrid w:val="0"/>
          <w:szCs w:val="20"/>
        </w:rPr>
        <w:tab/>
      </w:r>
      <w:r w:rsidRPr="00555D56">
        <w:rPr>
          <w:color w:val="000000" w:themeColor="text1"/>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55D56">
        <w:rPr>
          <w:color w:val="000000" w:themeColor="text1"/>
        </w:rPr>
        <w:t>”</w:t>
      </w:r>
    </w:p>
    <w:p w14:paraId="2CCA48D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555D56"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w:t>
      </w:r>
      <w:r w:rsidR="00D744EC" w:rsidRPr="00476D6C">
        <w:rPr>
          <w:color w:val="000000" w:themeColor="text1"/>
        </w:rPr>
        <w:lastRenderedPageBreak/>
        <w:t xml:space="preserve">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 xml:space="preserve">additional evidence of </w:t>
      </w:r>
      <w:r w:rsidR="004D7180" w:rsidRPr="00555D56">
        <w:rPr>
          <w:color w:val="000000" w:themeColor="text1"/>
        </w:rPr>
        <w:t>undue influence</w:t>
      </w:r>
      <w:r w:rsidR="00D744EC" w:rsidRPr="00555D56">
        <w:rPr>
          <w:color w:val="000000" w:themeColor="text1"/>
        </w:rPr>
        <w:t>, is not sufficient to prove undue influence.</w:t>
      </w:r>
      <w:r w:rsidR="00D744EC" w:rsidRPr="00555D56">
        <w:rPr>
          <w:color w:val="000000" w:themeColor="text1"/>
          <w:u w:color="000000" w:themeColor="text1"/>
        </w:rPr>
        <w:t>”</w:t>
      </w:r>
    </w:p>
    <w:p w14:paraId="77635983" w14:textId="77777777" w:rsidR="006E3985" w:rsidRPr="00555D56"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BC78" w14:textId="5D0CB6F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3.</w:t>
      </w:r>
      <w:r w:rsidRPr="00555D56">
        <w:rPr>
          <w:color w:val="000000" w:themeColor="text1"/>
          <w:u w:color="000000" w:themeColor="text1"/>
        </w:rPr>
        <w:tab/>
        <w:t>Section 43</w:t>
      </w:r>
      <w:r w:rsidRPr="00555D56">
        <w:rPr>
          <w:color w:val="000000" w:themeColor="text1"/>
          <w:u w:color="000000" w:themeColor="text1"/>
        </w:rPr>
        <w:noBreakHyphen/>
        <w:t>35</w:t>
      </w:r>
      <w:r w:rsidRPr="00555D56">
        <w:rPr>
          <w:color w:val="000000" w:themeColor="text1"/>
          <w:u w:color="000000" w:themeColor="text1"/>
        </w:rPr>
        <w:noBreakHyphen/>
        <w:t>85 of the 1976 Code is amended by adding:</w:t>
      </w:r>
    </w:p>
    <w:p w14:paraId="4BD40BD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FF3669" w14:textId="2C3933B6"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color="000000" w:themeColor="text1"/>
        </w:rPr>
      </w:pPr>
      <w:r w:rsidRPr="00555D56">
        <w:rPr>
          <w:rFonts w:eastAsia="Times New Roman"/>
          <w:snapToGrid w:val="0"/>
          <w:szCs w:val="20"/>
        </w:rPr>
        <w:tab/>
        <w:t>“</w:t>
      </w:r>
      <w:r w:rsidRPr="00555D56">
        <w:rPr>
          <w:rFonts w:eastAsia="Times New Roman"/>
          <w:snapToGrid w:val="0"/>
          <w:szCs w:val="20"/>
          <w:u w:val="single"/>
        </w:rPr>
        <w:t>(J)</w:t>
      </w:r>
      <w:r w:rsidRPr="00555D56">
        <w:rPr>
          <w:rFonts w:eastAsia="Times New Roman"/>
          <w:snapToGrid w:val="0"/>
          <w:szCs w:val="20"/>
        </w:rPr>
        <w:tab/>
      </w:r>
      <w:r w:rsidRPr="00555D56">
        <w:rPr>
          <w:rFonts w:eastAsia="Times New Roman"/>
          <w:snapToGrid w:val="0"/>
          <w:szCs w:val="20"/>
          <w:u w:val="single"/>
        </w:rPr>
        <w:t xml:space="preserve">Notwithstanding </w:t>
      </w:r>
      <w:r w:rsidR="00F94BB4">
        <w:rPr>
          <w:rFonts w:eastAsia="Times New Roman"/>
          <w:snapToGrid w:val="0"/>
          <w:szCs w:val="20"/>
          <w:u w:val="single"/>
        </w:rPr>
        <w:t>sub</w:t>
      </w:r>
      <w:r w:rsidRPr="00555D56">
        <w:rPr>
          <w:rFonts w:eastAsia="Times New Roman"/>
          <w:snapToGrid w:val="0"/>
          <w:szCs w:val="20"/>
          <w:u w:val="single"/>
        </w:rPr>
        <w:t xml:space="preserve">section (D), any person who, without authorization, knowingly and willfully records by video or photographic means a vulnerable adult in violation of </w:t>
      </w:r>
      <w:r w:rsidR="00F94BB4">
        <w:rPr>
          <w:rFonts w:eastAsia="Times New Roman"/>
          <w:snapToGrid w:val="0"/>
          <w:szCs w:val="20"/>
          <w:u w:val="single"/>
        </w:rPr>
        <w:t xml:space="preserve">Section </w:t>
      </w:r>
      <w:r w:rsidRPr="00555D56">
        <w:rPr>
          <w:color w:val="000000" w:themeColor="text1"/>
          <w:u w:val="single" w:color="000000" w:themeColor="text1"/>
        </w:rPr>
        <w:t>43</w:t>
      </w:r>
      <w:r w:rsidRPr="00555D56">
        <w:rPr>
          <w:color w:val="000000" w:themeColor="text1"/>
          <w:u w:val="single" w:color="000000" w:themeColor="text1"/>
        </w:rPr>
        <w:noBreakHyphen/>
        <w:t>35</w:t>
      </w:r>
      <w:r w:rsidRPr="00555D56">
        <w:rPr>
          <w:color w:val="000000" w:themeColor="text1"/>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39D74CC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555D56">
        <w:rPr>
          <w:rFonts w:eastAsia="Times New Roman"/>
          <w:snapToGrid w:val="0"/>
          <w:szCs w:val="20"/>
        </w:rPr>
        <w:tab/>
      </w:r>
      <w:r w:rsidRPr="00555D56">
        <w:rPr>
          <w:rFonts w:eastAsia="Times New Roman"/>
          <w:snapToGrid w:val="0"/>
          <w:szCs w:val="20"/>
          <w:u w:val="single"/>
        </w:rPr>
        <w:t>(K)</w:t>
      </w:r>
      <w:r w:rsidRPr="00555D56">
        <w:rPr>
          <w:rFonts w:eastAsia="Times New Roman"/>
          <w:snapToGrid w:val="0"/>
          <w:szCs w:val="20"/>
        </w:rPr>
        <w:tab/>
      </w:r>
      <w:r w:rsidRPr="00555D56">
        <w:rPr>
          <w:color w:val="000000" w:themeColor="text1"/>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55D56">
        <w:rPr>
          <w:color w:val="000000" w:themeColor="text1"/>
          <w:u w:color="000000" w:themeColor="text1"/>
        </w:rPr>
        <w:t>”</w:t>
      </w:r>
    </w:p>
    <w:p w14:paraId="55AF88CE"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2F47AD1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4.</w:t>
      </w:r>
      <w:r w:rsidRPr="00555D56">
        <w:rPr>
          <w:color w:val="000000" w:themeColor="text1"/>
          <w:u w:color="000000" w:themeColor="text1"/>
        </w:rPr>
        <w:tab/>
        <w:t>This act takes effect upon approval by the Governor.</w:t>
      </w:r>
    </w:p>
    <w:p w14:paraId="516376B3" w14:textId="3E932D8F" w:rsidR="009809AB" w:rsidRDefault="004C07D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1F143A" w14:textId="77777777" w:rsidR="00DB54CD" w:rsidRDefault="00DB54CD" w:rsidP="00DB54CD">
      <w:pPr>
        <w:suppressAutoHyphens/>
        <w:jc w:val="both"/>
        <w:rPr>
          <w:rFonts w:eastAsia="Times New Roman"/>
        </w:rPr>
      </w:pPr>
    </w:p>
    <w:sectPr w:rsidR="00DB54CD"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BF9717-97EA-49C0-B585-D0A9573A4508}"/>
    <w:embedBold r:id="rId2" w:fontKey="{E9A5DF1F-034F-4FF4-8BE9-16AFF92A7BCF}"/>
  </w:font>
  <w:font w:name="Calibri">
    <w:panose1 w:val="020F0502020204030204"/>
    <w:charset w:val="00"/>
    <w:family w:val="swiss"/>
    <w:pitch w:val="variable"/>
    <w:sig w:usb0="E4002EFF" w:usb1="C000247B" w:usb2="00000009" w:usb3="00000000" w:csb0="000001FF" w:csb1="00000000"/>
    <w:embedRegular r:id="rId3" w:fontKey="{566F5A70-E77E-499B-9019-2FDA8C6D7EE0}"/>
    <w:embedBold r:id="rId4" w:fontKey="{EF657DF5-46EF-4CD2-AE51-BAD16DD1442E}"/>
  </w:font>
  <w:font w:name="Segoe UI">
    <w:panose1 w:val="020B0502040204020203"/>
    <w:charset w:val="00"/>
    <w:family w:val="swiss"/>
    <w:pitch w:val="variable"/>
    <w:sig w:usb0="E4002EFF" w:usb1="C000E47F" w:usb2="00000009" w:usb3="00000000" w:csb0="000001FF" w:csb1="00000000"/>
    <w:embedRegular r:id="rId5" w:fontKey="{F64CC655-D55D-4B2F-9D22-B42E8867EFE6}"/>
  </w:font>
  <w:font w:name="Cambria">
    <w:panose1 w:val="02040503050406030204"/>
    <w:charset w:val="00"/>
    <w:family w:val="roman"/>
    <w:pitch w:val="variable"/>
    <w:sig w:usb0="E00006FF" w:usb1="420024FF" w:usb2="02000000" w:usb3="00000000" w:csb0="0000019F" w:csb1="00000000"/>
    <w:embedRegular r:id="rId6" w:fontKey="{A5473106-A952-451A-9FCD-E016948D5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6CADDCE4"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F94BB4">
      <w:rPr>
        <w:noProof/>
      </w:rPr>
      <w:t>1</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A8A4" w14:textId="15979D31"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DB54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2F2524"/>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55D56"/>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0342B"/>
    <w:rsid w:val="00A4011E"/>
    <w:rsid w:val="00A86015"/>
    <w:rsid w:val="00A9594E"/>
    <w:rsid w:val="00AA1704"/>
    <w:rsid w:val="00AE59C8"/>
    <w:rsid w:val="00B10098"/>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4BE6"/>
    <w:rsid w:val="00D35486"/>
    <w:rsid w:val="00D53E29"/>
    <w:rsid w:val="00D744EC"/>
    <w:rsid w:val="00D86943"/>
    <w:rsid w:val="00DA3C6B"/>
    <w:rsid w:val="00DA47B9"/>
    <w:rsid w:val="00DB54CD"/>
    <w:rsid w:val="00DE5635"/>
    <w:rsid w:val="00E058D3"/>
    <w:rsid w:val="00E12CA0"/>
    <w:rsid w:val="00E2236D"/>
    <w:rsid w:val="00E76AD9"/>
    <w:rsid w:val="00E86EE2"/>
    <w:rsid w:val="00E91E2F"/>
    <w:rsid w:val="00EA3546"/>
    <w:rsid w:val="00EB47AE"/>
    <w:rsid w:val="00EC34E1"/>
    <w:rsid w:val="00EC403A"/>
    <w:rsid w:val="00EF35FC"/>
    <w:rsid w:val="00F0234A"/>
    <w:rsid w:val="00F04604"/>
    <w:rsid w:val="00F05CF2"/>
    <w:rsid w:val="00F51241"/>
    <w:rsid w:val="00F52959"/>
    <w:rsid w:val="00F549C3"/>
    <w:rsid w:val="00F55884"/>
    <w:rsid w:val="00F94BB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4584</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(Apr. 1, 2022) - South Carolina Legislature Online</dc:title>
  <dc:subject/>
  <dc:creator>Hannah Warner</dc:creator>
  <cp:keywords/>
  <dc:description/>
  <cp:lastModifiedBy>Danny Crook</cp:lastModifiedBy>
  <cp:revision>2</cp:revision>
  <dcterms:created xsi:type="dcterms:W3CDTF">2022-04-01T19:16:00Z</dcterms:created>
  <dcterms:modified xsi:type="dcterms:W3CDTF">2022-04-01T19:16:00Z</dcterms:modified>
</cp:coreProperties>
</file>