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Johnson, Turner and Rankin</w:t>
      </w:r>
    </w:p>
    <w:p>
      <w:pPr>
        <w:widowControl w:val="false"/>
        <w:spacing w:after="0"/>
        <w:jc w:val="left"/>
      </w:pPr>
      <w:r>
        <w:rPr>
          <w:rFonts w:ascii="Times New Roman"/>
          <w:sz w:val="22"/>
        </w:rPr>
        <w:t xml:space="preserve">Companion/Similar bill(s): 3874</w:t>
      </w:r>
    </w:p>
    <w:p>
      <w:pPr>
        <w:widowControl w:val="false"/>
        <w:spacing w:after="0"/>
        <w:jc w:val="left"/>
      </w:pPr>
      <w:r>
        <w:rPr>
          <w:rFonts w:ascii="Times New Roman"/>
          <w:sz w:val="22"/>
        </w:rPr>
        <w:t xml:space="preserve">Document Path: SJ-0004MB25.docx</w:t>
      </w:r>
    </w:p>
    <w:p>
      <w:pPr>
        <w:widowControl w:val="false"/>
        <w:spacing w:after="0"/>
        <w:jc w:val="left"/>
      </w:pPr>
    </w:p>
    <w:p>
      <w:pPr>
        <w:widowControl w:val="false"/>
        <w:spacing w:after="0"/>
        <w:jc w:val="left"/>
      </w:pPr>
      <w:r>
        <w:rPr>
          <w:rFonts w:ascii="Times New Roman"/>
          <w:sz w:val="22"/>
        </w:rPr>
        <w:t xml:space="preserve">Introduced in the Senate on January 29,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Medical Fee Schedule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1/29/2025</w:t>
      </w:r>
      <w:r>
        <w:tab/>
        <w:t>Senate</w:t>
      </w:r>
      <w:r>
        <w:tab/>
        <w:t xml:space="preserve">Introduced and read first time</w:t>
      </w:r>
      <w:r>
        <w:t xml:space="preserve"> (</w:t>
      </w:r>
      <w:hyperlink w:history="true" r:id="R8061ac8edfb54269">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1/29/2025</w:t>
      </w:r>
      <w:r>
        <w:tab/>
        <w:t>Senate</w:t>
      </w:r>
      <w:r>
        <w:tab/>
        <w:t xml:space="preserve">Referred to Committee on</w:t>
      </w:r>
      <w:r>
        <w:rPr>
          <w:b/>
        </w:rPr>
        <w:t xml:space="preserve"> Judiciary</w:t>
      </w:r>
      <w:r>
        <w:t xml:space="preserve"> (</w:t>
      </w:r>
      <w:hyperlink w:history="true" r:id="R2400787423134b1d">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41d8397fdbbc472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20f20085c09446a">
        <w:r>
          <w:rPr>
            <w:rStyle w:val="Hyperlink"/>
            <w:u w:val="single"/>
          </w:rPr>
          <w:t>01/29/2025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A6091" w14:paraId="40FEFADA" w14:textId="312D43AF">
          <w:pPr>
            <w:pStyle w:val="scbilltitle"/>
          </w:pPr>
          <w:r>
            <w:t>TO AMEND THE SOUTH CAROLINA CODE OF LAWS BY AMENDING SECTION 42‑15‑90, RELATING TO FEES OF ATTORNEYS AND PHYSICIANS AND HOSPITAL CHARGES APPROVED BY COMMISSION, SO AS TO ALLOW THE WORKERS’ COMPENSATION COMMISSION TO ESTABLISH MEDICAL FEE SCHEDULES AND RELATED SYSTEMS, AND PROVIDE THAT THE WORKERS’ COMPENSATION COMMISSION SHALL REVIEW THE FEE SCHEDULES ON AN ANNUAL BASIS AND WHEN APPROPRIATE TO INCLUDE FACTORS SUCH AS THE MEDICAL CONSUMER PRICE INDEX AND THE FEE SCHEDULES OF OTHER STATES IN THE REGION.</w:t>
          </w:r>
        </w:p>
      </w:sdtContent>
    </w:sdt>
    <w:bookmarkStart w:name="at_37528446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232f5504" w:id="2"/>
      <w:r w:rsidRPr="0094541D">
        <w:t>B</w:t>
      </w:r>
      <w:bookmarkEnd w:id="2"/>
      <w:r w:rsidRPr="0094541D">
        <w:t>e it enacted by the General Assembly of the State of South Carolina:</w:t>
      </w:r>
    </w:p>
    <w:p w:rsidR="00E37F94" w:rsidP="00E37F94" w:rsidRDefault="00E37F94" w14:paraId="68992632" w14:textId="77777777">
      <w:pPr>
        <w:pStyle w:val="scemptyline"/>
      </w:pPr>
    </w:p>
    <w:p w:rsidR="00E37F94" w:rsidP="00E37F94" w:rsidRDefault="00E37F94" w14:paraId="5027C35A" w14:textId="77777777">
      <w:pPr>
        <w:pStyle w:val="scdirectionallanguage"/>
      </w:pPr>
      <w:bookmarkStart w:name="bs_num_1_3c53b850d" w:id="3"/>
      <w:r>
        <w:t>S</w:t>
      </w:r>
      <w:bookmarkEnd w:id="3"/>
      <w:r>
        <w:t>ECTION 1.</w:t>
      </w:r>
      <w:r>
        <w:tab/>
      </w:r>
      <w:bookmarkStart w:name="dl_2c11655a5" w:id="4"/>
      <w:r>
        <w:t>S</w:t>
      </w:r>
      <w:bookmarkEnd w:id="4"/>
      <w:r>
        <w:t>ection 42‑15‑90 of the S.C. Code is amended to read:</w:t>
      </w:r>
    </w:p>
    <w:p w:rsidR="00E37F94" w:rsidP="00E37F94" w:rsidRDefault="00E37F94" w14:paraId="25E49894" w14:textId="77777777">
      <w:pPr>
        <w:pStyle w:val="sccodifiedsection"/>
      </w:pPr>
    </w:p>
    <w:p w:rsidR="00E37F94" w:rsidP="00E37F94" w:rsidRDefault="00E37F94" w14:paraId="66F1DC58" w14:textId="77777777">
      <w:pPr>
        <w:pStyle w:val="sccodifiedsection"/>
      </w:pPr>
      <w:r>
        <w:tab/>
      </w:r>
      <w:bookmarkStart w:name="cs_T42C15N90_e267cc373" w:id="5"/>
      <w:r>
        <w:t>S</w:t>
      </w:r>
      <w:bookmarkEnd w:id="5"/>
      <w:r>
        <w:t>ection 42‑15‑90.</w:t>
      </w:r>
      <w:r>
        <w:tab/>
      </w:r>
      <w:bookmarkStart w:name="ss_T42C15N90SA_lv1_8b74366ab" w:id="6"/>
      <w:r>
        <w:t>(</w:t>
      </w:r>
      <w:bookmarkEnd w:id="6"/>
      <w:r>
        <w:t>A) Attorney fees, physician fees, and hospital charges for services under this title are subject to the approval of the commission, but a physician or hospital may not collect a fee from an employer or insurance carrier until the physician or hospital has made the reports required by the commission in connection with the case.</w:t>
      </w:r>
    </w:p>
    <w:p w:rsidR="00E37F94" w:rsidP="00E37F94" w:rsidRDefault="00E37F94" w14:paraId="5987E984" w14:textId="77777777">
      <w:pPr>
        <w:pStyle w:val="sccodifiedsection"/>
      </w:pPr>
      <w:r>
        <w:tab/>
      </w:r>
      <w:bookmarkStart w:name="ss_T42C15N90SB_lv1_c23afdc0d" w:id="7"/>
      <w:r>
        <w:t>(</w:t>
      </w:r>
      <w:bookmarkEnd w:id="7"/>
      <w:r>
        <w:t>B)</w:t>
      </w:r>
      <w:bookmarkStart w:name="ss_T42C15N90S1_lv2_b879e598b" w:id="8"/>
      <w:r>
        <w:t>(</w:t>
      </w:r>
      <w:bookmarkEnd w:id="8"/>
      <w:r>
        <w:t>1) A person may not:</w:t>
      </w:r>
    </w:p>
    <w:p w:rsidR="00E37F94" w:rsidP="00E37F94" w:rsidRDefault="00E37F94" w14:paraId="48058726" w14:textId="77777777">
      <w:pPr>
        <w:pStyle w:val="sccodifiedsection"/>
      </w:pPr>
      <w:r>
        <w:tab/>
      </w:r>
      <w:r>
        <w:tab/>
      </w:r>
      <w:r>
        <w:tab/>
      </w:r>
      <w:bookmarkStart w:name="ss_T42C15N90Sa_lv3_7a4deb631" w:id="9"/>
      <w:r>
        <w:t>(</w:t>
      </w:r>
      <w:bookmarkEnd w:id="9"/>
      <w:r>
        <w:t xml:space="preserve">a) receive a fee, gratuity, or other consideration for a service rendered pursuant to this title unless the fee, gratuity, or other consideration is approved by the commission or a court of competent </w:t>
      </w:r>
      <w:proofErr w:type="gramStart"/>
      <w:r>
        <w:t>jurisdiction;  or</w:t>
      </w:r>
      <w:proofErr w:type="gramEnd"/>
    </w:p>
    <w:p w:rsidR="00E37F94" w:rsidP="00E37F94" w:rsidRDefault="00E37F94" w14:paraId="0E128C42" w14:textId="77777777">
      <w:pPr>
        <w:pStyle w:val="sccodifiedsection"/>
      </w:pPr>
      <w:r>
        <w:tab/>
      </w:r>
      <w:r>
        <w:tab/>
      </w:r>
      <w:r>
        <w:tab/>
      </w:r>
      <w:bookmarkStart w:name="ss_T42C15N90Sb_lv3_61f87debb" w:id="10"/>
      <w:r>
        <w:t>(</w:t>
      </w:r>
      <w:bookmarkEnd w:id="10"/>
      <w:r>
        <w:t>b) make it a business to solicit employment for an attorney or himself with respect to a claim or award for compensation under this title.</w:t>
      </w:r>
    </w:p>
    <w:p w:rsidR="00E37F94" w:rsidP="00E37F94" w:rsidRDefault="00E37F94" w14:paraId="022132DB" w14:textId="77777777">
      <w:pPr>
        <w:pStyle w:val="sccodifiedsection"/>
      </w:pPr>
      <w:r>
        <w:tab/>
      </w:r>
      <w:r>
        <w:tab/>
      </w:r>
      <w:bookmarkStart w:name="ss_T42C15N90S2_lv2_ba71e5f61" w:id="11"/>
      <w:r>
        <w:t>(</w:t>
      </w:r>
      <w:bookmarkEnd w:id="11"/>
      <w:r>
        <w:t xml:space="preserve">2) A violation of this section constitutes a </w:t>
      </w:r>
      <w:proofErr w:type="gramStart"/>
      <w:r>
        <w:t>misdemeanor</w:t>
      </w:r>
      <w:proofErr w:type="gramEnd"/>
      <w:r>
        <w:t xml:space="preserve"> and, upon conviction, each offense is subject to a fine of not more than five hundred dollars, imprisonment for not more than one year, or both.</w:t>
      </w:r>
    </w:p>
    <w:p w:rsidR="00E37F94" w:rsidDel="008A58F4" w:rsidP="00E37F94" w:rsidRDefault="00E37F94" w14:paraId="0131521C" w14:textId="2C1BD31B">
      <w:pPr>
        <w:pStyle w:val="sccodifiedsection"/>
      </w:pPr>
      <w:r>
        <w:rPr>
          <w:rStyle w:val="scstrike"/>
        </w:rPr>
        <w:tab/>
        <w:t xml:space="preserve">(C)(1) The commission may adopt criteria to establish a new fee schedule or adjust an existing fee schedule to establish maximum allowable payments for medical services provided by medical practitioners exclusive of hospital inpatient services and hospital outpatient services and ambulatory surgery centers based in whole or in part on the requirements of a federally funded program, but if it adopts adjustments to an existing fee schedule, it must adopt these adjustments on an annual basis and the adjustments may not exceed the percentage change indicated by the federally funded program. The </w:t>
      </w:r>
      <w:r>
        <w:rPr>
          <w:rStyle w:val="scstrike"/>
        </w:rPr>
        <w:lastRenderedPageBreak/>
        <w:t>commission shall conduct an evidentiary hearing to review a proposed adjustment to increase or reduce these fees by more than ten percent annually to determine whether to:</w:t>
      </w:r>
    </w:p>
    <w:p w:rsidR="00E37F94" w:rsidDel="008A58F4" w:rsidP="00E37F94" w:rsidRDefault="00E37F94" w14:paraId="76A4A657" w14:textId="0C53C911">
      <w:pPr>
        <w:pStyle w:val="sccodifiedsection"/>
      </w:pPr>
      <w:r>
        <w:rPr>
          <w:rStyle w:val="scstrike"/>
        </w:rPr>
        <w:tab/>
      </w:r>
      <w:r>
        <w:rPr>
          <w:rStyle w:val="scstrike"/>
        </w:rPr>
        <w:tab/>
      </w:r>
      <w:r>
        <w:rPr>
          <w:rStyle w:val="scstrike"/>
        </w:rPr>
        <w:tab/>
        <w:t xml:space="preserve">(a) increase or reduce the proposed adjustment as the commission considers </w:t>
      </w:r>
      <w:proofErr w:type="gramStart"/>
      <w:r>
        <w:rPr>
          <w:rStyle w:val="scstrike"/>
        </w:rPr>
        <w:t>appropriate;  or</w:t>
      </w:r>
      <w:proofErr w:type="gramEnd"/>
    </w:p>
    <w:p w:rsidR="00E37F94" w:rsidDel="008A58F4" w:rsidP="00E37F94" w:rsidRDefault="00E37F94" w14:paraId="60CE51BD" w14:textId="32AD928C">
      <w:pPr>
        <w:pStyle w:val="sccodifiedsection"/>
      </w:pPr>
      <w:r>
        <w:rPr>
          <w:rStyle w:val="scstrike"/>
        </w:rPr>
        <w:tab/>
      </w:r>
      <w:r>
        <w:rPr>
          <w:rStyle w:val="scstrike"/>
        </w:rPr>
        <w:tab/>
      </w:r>
      <w:r>
        <w:rPr>
          <w:rStyle w:val="scstrike"/>
        </w:rPr>
        <w:tab/>
        <w:t>(b) accept the proposed adjustment.</w:t>
      </w:r>
    </w:p>
    <w:p w:rsidR="00E37F94" w:rsidDel="008A58F4" w:rsidP="00E37F94" w:rsidRDefault="00E37F94" w14:paraId="5EDF1F10" w14:textId="59D00121">
      <w:pPr>
        <w:pStyle w:val="sccodifiedsection"/>
      </w:pPr>
      <w:r>
        <w:rPr>
          <w:rStyle w:val="scstrike"/>
        </w:rPr>
        <w:tab/>
      </w:r>
      <w:r>
        <w:rPr>
          <w:rStyle w:val="scstrike"/>
        </w:rPr>
        <w:tab/>
        <w:t>(2)(a) A decision of the commission to increase or reduce a fee schedule to establish maximum allowable payments for medical services provided by medical practitioners exclusive of hospital inpatient services and hospital outpatient services and ambulatory surgery centers by more than ten percent is reviewable by expedited appeal to the Administrative Law Court pursuant to the Administrative Procedures Act.</w:t>
      </w:r>
    </w:p>
    <w:p w:rsidR="00E37F94" w:rsidDel="008A58F4" w:rsidP="00E37F94" w:rsidRDefault="00E37F94" w14:paraId="0BB18B9E" w14:textId="690C9C19">
      <w:pPr>
        <w:pStyle w:val="sccodifiedsection"/>
      </w:pPr>
      <w:r>
        <w:rPr>
          <w:rStyle w:val="scstrike"/>
        </w:rPr>
        <w:tab/>
      </w:r>
      <w:r>
        <w:rPr>
          <w:rStyle w:val="scstrike"/>
        </w:rPr>
        <w:tab/>
      </w:r>
      <w:r>
        <w:rPr>
          <w:rStyle w:val="scstrike"/>
        </w:rPr>
        <w:tab/>
        <w:t>(b) On appeal, the court may:</w:t>
      </w:r>
    </w:p>
    <w:p w:rsidR="00E37F94" w:rsidDel="008A58F4" w:rsidP="00E37F94" w:rsidRDefault="00E37F94" w14:paraId="56FA8B68" w14:textId="19ADEBCC">
      <w:pPr>
        <w:pStyle w:val="sccodifiedsection"/>
      </w:pPr>
      <w:r>
        <w:rPr>
          <w:rStyle w:val="scstrike"/>
        </w:rPr>
        <w:tab/>
      </w:r>
      <w:r>
        <w:rPr>
          <w:rStyle w:val="scstrike"/>
        </w:rPr>
        <w:tab/>
      </w:r>
      <w:r>
        <w:rPr>
          <w:rStyle w:val="scstrike"/>
        </w:rPr>
        <w:tab/>
      </w:r>
      <w:r>
        <w:rPr>
          <w:rStyle w:val="scstrike"/>
        </w:rPr>
        <w:tab/>
        <w:t>(</w:t>
      </w:r>
      <w:proofErr w:type="spellStart"/>
      <w:r>
        <w:rPr>
          <w:rStyle w:val="scstrike"/>
        </w:rPr>
        <w:t>i</w:t>
      </w:r>
      <w:proofErr w:type="spellEnd"/>
      <w:r>
        <w:rPr>
          <w:rStyle w:val="scstrike"/>
        </w:rPr>
        <w:t xml:space="preserve">) accept the increase or </w:t>
      </w:r>
      <w:proofErr w:type="gramStart"/>
      <w:r>
        <w:rPr>
          <w:rStyle w:val="scstrike"/>
        </w:rPr>
        <w:t>decrease;</w:t>
      </w:r>
      <w:proofErr w:type="gramEnd"/>
    </w:p>
    <w:p w:rsidR="00E37F94" w:rsidDel="008A58F4" w:rsidP="00E37F94" w:rsidRDefault="00E37F94" w14:paraId="247A24BF" w14:textId="4FBAAB66">
      <w:pPr>
        <w:pStyle w:val="sccodifiedsection"/>
      </w:pPr>
      <w:r>
        <w:rPr>
          <w:rStyle w:val="scstrike"/>
        </w:rPr>
        <w:tab/>
      </w:r>
      <w:r>
        <w:rPr>
          <w:rStyle w:val="scstrike"/>
        </w:rPr>
        <w:tab/>
      </w:r>
      <w:r>
        <w:rPr>
          <w:rStyle w:val="scstrike"/>
        </w:rPr>
        <w:tab/>
      </w:r>
      <w:r>
        <w:rPr>
          <w:rStyle w:val="scstrike"/>
        </w:rPr>
        <w:tab/>
        <w:t xml:space="preserve">(ii) impose a lesser increase or </w:t>
      </w:r>
      <w:proofErr w:type="gramStart"/>
      <w:r>
        <w:rPr>
          <w:rStyle w:val="scstrike"/>
        </w:rPr>
        <w:t>decrease;</w:t>
      </w:r>
      <w:proofErr w:type="gramEnd"/>
    </w:p>
    <w:p w:rsidR="00E37F94" w:rsidDel="008A58F4" w:rsidP="00E37F94" w:rsidRDefault="00E37F94" w14:paraId="4BFE8E1B" w14:textId="212E7543">
      <w:pPr>
        <w:pStyle w:val="sccodifiedsection"/>
      </w:pPr>
      <w:r>
        <w:rPr>
          <w:rStyle w:val="scstrike"/>
        </w:rPr>
        <w:tab/>
      </w:r>
      <w:r>
        <w:rPr>
          <w:rStyle w:val="scstrike"/>
        </w:rPr>
        <w:tab/>
      </w:r>
      <w:r>
        <w:rPr>
          <w:rStyle w:val="scstrike"/>
        </w:rPr>
        <w:tab/>
      </w:r>
      <w:r>
        <w:rPr>
          <w:rStyle w:val="scstrike"/>
        </w:rPr>
        <w:tab/>
        <w:t xml:space="preserve">(iii) revert the fee schedule as it was immediately prior to the annual </w:t>
      </w:r>
      <w:proofErr w:type="gramStart"/>
      <w:r>
        <w:rPr>
          <w:rStyle w:val="scstrike"/>
        </w:rPr>
        <w:t>adjustment;</w:t>
      </w:r>
      <w:proofErr w:type="gramEnd"/>
    </w:p>
    <w:p w:rsidR="00E37F94" w:rsidDel="008A58F4" w:rsidP="00E37F94" w:rsidRDefault="00E37F94" w14:paraId="7F5ED0F0" w14:textId="78601DB2">
      <w:pPr>
        <w:pStyle w:val="sccodifiedsection"/>
      </w:pPr>
      <w:r>
        <w:rPr>
          <w:rStyle w:val="scstrike"/>
        </w:rPr>
        <w:tab/>
      </w:r>
      <w:r>
        <w:rPr>
          <w:rStyle w:val="scstrike"/>
        </w:rPr>
        <w:tab/>
      </w:r>
      <w:r>
        <w:rPr>
          <w:rStyle w:val="scstrike"/>
        </w:rPr>
        <w:tab/>
      </w:r>
      <w:r>
        <w:rPr>
          <w:rStyle w:val="scstrike"/>
        </w:rPr>
        <w:tab/>
        <w:t xml:space="preserve">(iv) adjust the appropriate conversion factors as </w:t>
      </w:r>
      <w:proofErr w:type="gramStart"/>
      <w:r>
        <w:rPr>
          <w:rStyle w:val="scstrike"/>
        </w:rPr>
        <w:t>necessary;  or</w:t>
      </w:r>
      <w:proofErr w:type="gramEnd"/>
    </w:p>
    <w:p w:rsidR="00E37F94" w:rsidDel="008A58F4" w:rsidP="00E37F94" w:rsidRDefault="00E37F94" w14:paraId="6FADEECD" w14:textId="789A9069">
      <w:pPr>
        <w:pStyle w:val="sccodifiedsection"/>
      </w:pPr>
      <w:r>
        <w:rPr>
          <w:rStyle w:val="scstrike"/>
        </w:rPr>
        <w:tab/>
      </w:r>
      <w:r>
        <w:rPr>
          <w:rStyle w:val="scstrike"/>
        </w:rPr>
        <w:tab/>
      </w:r>
      <w:r>
        <w:rPr>
          <w:rStyle w:val="scstrike"/>
        </w:rPr>
        <w:tab/>
      </w:r>
      <w:r>
        <w:rPr>
          <w:rStyle w:val="scstrike"/>
        </w:rPr>
        <w:tab/>
        <w:t>(v) make other adjustments the court considers reasonable.</w:t>
      </w:r>
    </w:p>
    <w:p w:rsidR="00E37F94" w:rsidDel="008A58F4" w:rsidP="00E37F94" w:rsidRDefault="00E37F94" w14:paraId="1D20A854" w14:textId="727D0DC6">
      <w:pPr>
        <w:pStyle w:val="sccodifiedsection"/>
      </w:pPr>
      <w:r>
        <w:rPr>
          <w:rStyle w:val="scstrike"/>
        </w:rPr>
        <w:tab/>
      </w:r>
      <w:r>
        <w:rPr>
          <w:rStyle w:val="scstrike"/>
        </w:rPr>
        <w:tab/>
      </w:r>
      <w:r>
        <w:rPr>
          <w:rStyle w:val="scstrike"/>
        </w:rPr>
        <w:tab/>
        <w:t>(c) The court shall issue a decision within ninety days after it receives the appeal.</w:t>
      </w:r>
    </w:p>
    <w:p w:rsidR="00E37F94" w:rsidDel="008A58F4" w:rsidP="00E37F94" w:rsidRDefault="00E37F94" w14:paraId="073747B4" w14:textId="3713CFFF">
      <w:pPr>
        <w:pStyle w:val="sccodifiedsection"/>
      </w:pPr>
      <w:r>
        <w:rPr>
          <w:rStyle w:val="scstrike"/>
        </w:rPr>
        <w:tab/>
      </w:r>
      <w:r>
        <w:rPr>
          <w:rStyle w:val="scstrike"/>
        </w:rPr>
        <w:tab/>
      </w:r>
      <w:r>
        <w:rPr>
          <w:rStyle w:val="scstrike"/>
        </w:rPr>
        <w:tab/>
        <w:t>(d) During the pendency of this appeal, the portion of the fee schedule under review must remain the same as it was immediately prior to the proposed changes, but all other portions of the fee schedule or conversion factors are effective and remain unchanged.</w:t>
      </w:r>
    </w:p>
    <w:p w:rsidR="008A58F4" w:rsidP="00E37F94" w:rsidRDefault="008A58F4" w14:paraId="368958AE" w14:textId="5861135E">
      <w:pPr>
        <w:pStyle w:val="sccodifiedsection"/>
      </w:pPr>
      <w:r>
        <w:rPr>
          <w:rStyle w:val="scinsert"/>
        </w:rPr>
        <w:tab/>
      </w:r>
      <w:bookmarkStart w:name="ss_T42C15N90SC_lv4_5cba57cce" w:id="12"/>
      <w:r>
        <w:rPr>
          <w:rStyle w:val="scinsert"/>
        </w:rPr>
        <w:t>(</w:t>
      </w:r>
      <w:bookmarkEnd w:id="12"/>
      <w:r>
        <w:rPr>
          <w:rStyle w:val="scinsert"/>
        </w:rPr>
        <w:t>C)</w:t>
      </w:r>
      <w:bookmarkStart w:name="ss_T42C15N90S1_lv5_0f1610e63" w:id="13"/>
      <w:r>
        <w:rPr>
          <w:rStyle w:val="scinsert"/>
        </w:rPr>
        <w:t>(</w:t>
      </w:r>
      <w:bookmarkEnd w:id="13"/>
      <w:r>
        <w:rPr>
          <w:rStyle w:val="scinsert"/>
        </w:rPr>
        <w:t xml:space="preserve">1) The commission may establish medical fee schedules and a related system that includes, but is not limited to, procedures for </w:t>
      </w:r>
      <w:r w:rsidR="00A94AC5">
        <w:rPr>
          <w:rStyle w:val="scinsert"/>
        </w:rPr>
        <w:t xml:space="preserve">a </w:t>
      </w:r>
      <w:r>
        <w:rPr>
          <w:rStyle w:val="scinsert"/>
        </w:rPr>
        <w:t xml:space="preserve">review of charges and enforcement and implementation procedures. In establishing the fee schedules, the commission shall strive to assure the delivery of quality medical care in workers’ compensation cases and access by injured workers to primary and specialist care while controlling prices and system costs. The commission may consider </w:t>
      </w:r>
      <w:proofErr w:type="gramStart"/>
      <w:r>
        <w:rPr>
          <w:rStyle w:val="scinsert"/>
        </w:rPr>
        <w:t>any and all</w:t>
      </w:r>
      <w:proofErr w:type="gramEnd"/>
      <w:r>
        <w:rPr>
          <w:rStyle w:val="scinsert"/>
        </w:rPr>
        <w:t xml:space="preserve"> reimbursement systems and methodologies in developing the fee schedules</w:t>
      </w:r>
      <w:r w:rsidR="00ED44FB">
        <w:rPr>
          <w:rStyle w:val="scinsert"/>
        </w:rPr>
        <w:t>, including</w:t>
      </w:r>
      <w:r w:rsidR="009A3BB5">
        <w:rPr>
          <w:rStyle w:val="scinsert"/>
        </w:rPr>
        <w:t>,</w:t>
      </w:r>
      <w:r w:rsidR="00ED44FB">
        <w:rPr>
          <w:rStyle w:val="scinsert"/>
        </w:rPr>
        <w:t xml:space="preserve"> but not limited to</w:t>
      </w:r>
      <w:r w:rsidR="009A3BB5">
        <w:rPr>
          <w:rStyle w:val="scinsert"/>
        </w:rPr>
        <w:t>,</w:t>
      </w:r>
      <w:r w:rsidR="00ED44FB">
        <w:rPr>
          <w:rStyle w:val="scinsert"/>
        </w:rPr>
        <w:t xml:space="preserve"> applying multiple conversion factors to a relative value scale calculation</w:t>
      </w:r>
      <w:r>
        <w:rPr>
          <w:rStyle w:val="scinsert"/>
        </w:rPr>
        <w:t>.</w:t>
      </w:r>
    </w:p>
    <w:p w:rsidR="008A58F4" w:rsidP="00E37F94" w:rsidRDefault="008A58F4" w14:paraId="44E02D05" w14:textId="789C57E6">
      <w:pPr>
        <w:pStyle w:val="sccodifiedsection"/>
      </w:pPr>
      <w:r>
        <w:rPr>
          <w:rStyle w:val="scinsert"/>
        </w:rPr>
        <w:tab/>
      </w:r>
      <w:r>
        <w:rPr>
          <w:rStyle w:val="scinsert"/>
        </w:rPr>
        <w:tab/>
      </w:r>
      <w:bookmarkStart w:name="ss_T42C15N90S2_lv5_22ae320ef" w:id="14"/>
      <w:r>
        <w:rPr>
          <w:rStyle w:val="scinsert"/>
        </w:rPr>
        <w:t>(</w:t>
      </w:r>
      <w:bookmarkEnd w:id="14"/>
      <w:r>
        <w:rPr>
          <w:rStyle w:val="scinsert"/>
        </w:rPr>
        <w:t>2) The commission may retain experts to assist in the development of the fee schedules and related systems.</w:t>
      </w:r>
    </w:p>
    <w:p w:rsidR="008A58F4" w:rsidP="00E37F94" w:rsidRDefault="008A58F4" w14:paraId="2E3369AC" w14:textId="22C9E4B3">
      <w:pPr>
        <w:pStyle w:val="sccodifiedsection"/>
      </w:pPr>
      <w:r>
        <w:rPr>
          <w:rStyle w:val="scinsert"/>
        </w:rPr>
        <w:tab/>
      </w:r>
      <w:r>
        <w:rPr>
          <w:rStyle w:val="scinsert"/>
        </w:rPr>
        <w:tab/>
      </w:r>
      <w:bookmarkStart w:name="ss_T42C15N90S3_lv5_7b774439f" w:id="15"/>
      <w:r>
        <w:rPr>
          <w:rStyle w:val="scinsert"/>
        </w:rPr>
        <w:t>(</w:t>
      </w:r>
      <w:bookmarkEnd w:id="15"/>
      <w:r>
        <w:rPr>
          <w:rStyle w:val="scinsert"/>
        </w:rPr>
        <w:t>3) The commission shall review the fee schedules adopted pursuant to this section on an annual basis</w:t>
      </w:r>
      <w:r w:rsidR="009A3BB5">
        <w:rPr>
          <w:rStyle w:val="scinsert"/>
        </w:rPr>
        <w:t>,</w:t>
      </w:r>
      <w:r>
        <w:rPr>
          <w:rStyle w:val="scinsert"/>
        </w:rPr>
        <w:t xml:space="preserve"> and when appropriate</w:t>
      </w:r>
      <w:r w:rsidR="009A3BB5">
        <w:rPr>
          <w:rStyle w:val="scinsert"/>
        </w:rPr>
        <w:t>,</w:t>
      </w:r>
      <w:r>
        <w:rPr>
          <w:rStyle w:val="scinsert"/>
        </w:rPr>
        <w:t xml:space="preserve"> the commission shall </w:t>
      </w:r>
      <w:r w:rsidR="00046CC3">
        <w:rPr>
          <w:rStyle w:val="scinsert"/>
        </w:rPr>
        <w:t>revise the fee schedules as necessary. The annual review should consider among other factors, the medical consumer price index and the workers’ compensation fee schedules of other states in the region.</w:t>
      </w:r>
    </w:p>
    <w:p w:rsidRPr="00DF3B44" w:rsidR="007E06BB" w:rsidP="00787433" w:rsidRDefault="007E06BB" w14:paraId="3D8F1FED" w14:textId="565B4A1E">
      <w:pPr>
        <w:pStyle w:val="scemptyline"/>
      </w:pPr>
    </w:p>
    <w:p w:rsidRPr="00DF3B44" w:rsidR="007A10F1" w:rsidP="007A10F1" w:rsidRDefault="00E27805" w14:paraId="0E9393B4" w14:textId="3A662836">
      <w:pPr>
        <w:pStyle w:val="scnoncodifiedsection"/>
      </w:pPr>
      <w:bookmarkStart w:name="bs_num_2_lastsection" w:id="16"/>
      <w:bookmarkStart w:name="eff_date_section" w:id="17"/>
      <w:r w:rsidRPr="00DF3B44">
        <w:t>S</w:t>
      </w:r>
      <w:bookmarkEnd w:id="16"/>
      <w:r w:rsidRPr="00DF3B44">
        <w:t>ECTION 2.</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C1BD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7C186A9" w:rsidR="00685035" w:rsidRPr="007B4AF7" w:rsidRDefault="006D3B5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968F3">
              <w:t>[0286]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968F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FB6"/>
    <w:rsid w:val="0000697D"/>
    <w:rsid w:val="00011182"/>
    <w:rsid w:val="00012912"/>
    <w:rsid w:val="00017297"/>
    <w:rsid w:val="00017FB0"/>
    <w:rsid w:val="00020B5D"/>
    <w:rsid w:val="00026421"/>
    <w:rsid w:val="00030409"/>
    <w:rsid w:val="00037F04"/>
    <w:rsid w:val="000404BF"/>
    <w:rsid w:val="00044B84"/>
    <w:rsid w:val="00046CC3"/>
    <w:rsid w:val="000479D0"/>
    <w:rsid w:val="00051741"/>
    <w:rsid w:val="0006464F"/>
    <w:rsid w:val="00066B54"/>
    <w:rsid w:val="00072FCD"/>
    <w:rsid w:val="00074A4F"/>
    <w:rsid w:val="00077B65"/>
    <w:rsid w:val="0008047C"/>
    <w:rsid w:val="00092823"/>
    <w:rsid w:val="000A3C25"/>
    <w:rsid w:val="000B4C02"/>
    <w:rsid w:val="000B5B4A"/>
    <w:rsid w:val="000B7FE1"/>
    <w:rsid w:val="000C3E88"/>
    <w:rsid w:val="000C46B9"/>
    <w:rsid w:val="000C58E4"/>
    <w:rsid w:val="000C6F9A"/>
    <w:rsid w:val="000D2F44"/>
    <w:rsid w:val="000D33E4"/>
    <w:rsid w:val="000D42C9"/>
    <w:rsid w:val="000E578A"/>
    <w:rsid w:val="000F2250"/>
    <w:rsid w:val="0010329A"/>
    <w:rsid w:val="00105756"/>
    <w:rsid w:val="00111693"/>
    <w:rsid w:val="001164F9"/>
    <w:rsid w:val="0011719C"/>
    <w:rsid w:val="00126D29"/>
    <w:rsid w:val="00140049"/>
    <w:rsid w:val="0014730A"/>
    <w:rsid w:val="00171601"/>
    <w:rsid w:val="00172FA4"/>
    <w:rsid w:val="001730EB"/>
    <w:rsid w:val="00173276"/>
    <w:rsid w:val="00176122"/>
    <w:rsid w:val="00177D42"/>
    <w:rsid w:val="00184C5E"/>
    <w:rsid w:val="0019025B"/>
    <w:rsid w:val="00192AF7"/>
    <w:rsid w:val="00197366"/>
    <w:rsid w:val="001A136C"/>
    <w:rsid w:val="001A769B"/>
    <w:rsid w:val="001B6DA2"/>
    <w:rsid w:val="001C25EC"/>
    <w:rsid w:val="001E356E"/>
    <w:rsid w:val="001F2A41"/>
    <w:rsid w:val="001F313F"/>
    <w:rsid w:val="001F331D"/>
    <w:rsid w:val="001F394C"/>
    <w:rsid w:val="002038AA"/>
    <w:rsid w:val="00204866"/>
    <w:rsid w:val="002114C8"/>
    <w:rsid w:val="0021166F"/>
    <w:rsid w:val="002162DF"/>
    <w:rsid w:val="00230038"/>
    <w:rsid w:val="00233975"/>
    <w:rsid w:val="00236D73"/>
    <w:rsid w:val="00246535"/>
    <w:rsid w:val="00257F60"/>
    <w:rsid w:val="002625EA"/>
    <w:rsid w:val="00262AC5"/>
    <w:rsid w:val="00264AE9"/>
    <w:rsid w:val="00275AE6"/>
    <w:rsid w:val="002770BE"/>
    <w:rsid w:val="002836D8"/>
    <w:rsid w:val="00294660"/>
    <w:rsid w:val="00295ED4"/>
    <w:rsid w:val="002A7989"/>
    <w:rsid w:val="002B02F3"/>
    <w:rsid w:val="002C3463"/>
    <w:rsid w:val="002D266D"/>
    <w:rsid w:val="002D5B3D"/>
    <w:rsid w:val="002D7447"/>
    <w:rsid w:val="002E315A"/>
    <w:rsid w:val="002E4F8C"/>
    <w:rsid w:val="002F560C"/>
    <w:rsid w:val="002F5847"/>
    <w:rsid w:val="002F6E8D"/>
    <w:rsid w:val="00301F7D"/>
    <w:rsid w:val="0030425A"/>
    <w:rsid w:val="00333C05"/>
    <w:rsid w:val="003421F1"/>
    <w:rsid w:val="0034279C"/>
    <w:rsid w:val="00354F64"/>
    <w:rsid w:val="003559A1"/>
    <w:rsid w:val="00361563"/>
    <w:rsid w:val="00371D36"/>
    <w:rsid w:val="00373E17"/>
    <w:rsid w:val="003775E6"/>
    <w:rsid w:val="00380AC1"/>
    <w:rsid w:val="00380F83"/>
    <w:rsid w:val="00381998"/>
    <w:rsid w:val="003835D4"/>
    <w:rsid w:val="003877BC"/>
    <w:rsid w:val="003A01B1"/>
    <w:rsid w:val="003A5F1C"/>
    <w:rsid w:val="003A7C8B"/>
    <w:rsid w:val="003B704A"/>
    <w:rsid w:val="003C3E2E"/>
    <w:rsid w:val="003D4A3C"/>
    <w:rsid w:val="003D55B2"/>
    <w:rsid w:val="003E0033"/>
    <w:rsid w:val="003E5452"/>
    <w:rsid w:val="003E7165"/>
    <w:rsid w:val="003E7FF6"/>
    <w:rsid w:val="00400C54"/>
    <w:rsid w:val="004046B5"/>
    <w:rsid w:val="00406F27"/>
    <w:rsid w:val="004141B8"/>
    <w:rsid w:val="004203B9"/>
    <w:rsid w:val="00432135"/>
    <w:rsid w:val="00446987"/>
    <w:rsid w:val="00446D28"/>
    <w:rsid w:val="00454D98"/>
    <w:rsid w:val="0046578A"/>
    <w:rsid w:val="00466CD0"/>
    <w:rsid w:val="00473583"/>
    <w:rsid w:val="00477F32"/>
    <w:rsid w:val="00481850"/>
    <w:rsid w:val="004851A0"/>
    <w:rsid w:val="0048627F"/>
    <w:rsid w:val="004932AB"/>
    <w:rsid w:val="00494BEF"/>
    <w:rsid w:val="004A5512"/>
    <w:rsid w:val="004A6BE5"/>
    <w:rsid w:val="004B0A57"/>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831"/>
    <w:rsid w:val="00523F7F"/>
    <w:rsid w:val="00524D54"/>
    <w:rsid w:val="005375E1"/>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034E"/>
    <w:rsid w:val="00634019"/>
    <w:rsid w:val="006347E9"/>
    <w:rsid w:val="00640C87"/>
    <w:rsid w:val="006454BB"/>
    <w:rsid w:val="00650390"/>
    <w:rsid w:val="00657CF4"/>
    <w:rsid w:val="00661463"/>
    <w:rsid w:val="00663B8D"/>
    <w:rsid w:val="00663E00"/>
    <w:rsid w:val="00664F48"/>
    <w:rsid w:val="00664FAD"/>
    <w:rsid w:val="0067345B"/>
    <w:rsid w:val="00683986"/>
    <w:rsid w:val="00684742"/>
    <w:rsid w:val="00685035"/>
    <w:rsid w:val="00685770"/>
    <w:rsid w:val="00690DBA"/>
    <w:rsid w:val="0069534C"/>
    <w:rsid w:val="006964F9"/>
    <w:rsid w:val="006968F3"/>
    <w:rsid w:val="00696CD0"/>
    <w:rsid w:val="006A395F"/>
    <w:rsid w:val="006A6091"/>
    <w:rsid w:val="006A65E2"/>
    <w:rsid w:val="006B37BD"/>
    <w:rsid w:val="006C092D"/>
    <w:rsid w:val="006C099D"/>
    <w:rsid w:val="006C18F0"/>
    <w:rsid w:val="006C7E01"/>
    <w:rsid w:val="006D2F34"/>
    <w:rsid w:val="006D3B5C"/>
    <w:rsid w:val="006D64A5"/>
    <w:rsid w:val="006E0935"/>
    <w:rsid w:val="006E353F"/>
    <w:rsid w:val="006E35AB"/>
    <w:rsid w:val="00711AA9"/>
    <w:rsid w:val="00722155"/>
    <w:rsid w:val="00737F19"/>
    <w:rsid w:val="00747770"/>
    <w:rsid w:val="00777455"/>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179D8"/>
    <w:rsid w:val="00820209"/>
    <w:rsid w:val="00830B53"/>
    <w:rsid w:val="00831048"/>
    <w:rsid w:val="00834272"/>
    <w:rsid w:val="008520AB"/>
    <w:rsid w:val="008578F5"/>
    <w:rsid w:val="008614C3"/>
    <w:rsid w:val="008625C1"/>
    <w:rsid w:val="00873307"/>
    <w:rsid w:val="0087671D"/>
    <w:rsid w:val="008806F9"/>
    <w:rsid w:val="00887957"/>
    <w:rsid w:val="008A57E3"/>
    <w:rsid w:val="008A58F4"/>
    <w:rsid w:val="008B5BF4"/>
    <w:rsid w:val="008B6711"/>
    <w:rsid w:val="008C0CEE"/>
    <w:rsid w:val="008C1B18"/>
    <w:rsid w:val="008D46EC"/>
    <w:rsid w:val="008E0E25"/>
    <w:rsid w:val="008E61A1"/>
    <w:rsid w:val="00900CA1"/>
    <w:rsid w:val="009031EF"/>
    <w:rsid w:val="00917EA3"/>
    <w:rsid w:val="00917EE0"/>
    <w:rsid w:val="00921C89"/>
    <w:rsid w:val="009263D3"/>
    <w:rsid w:val="00926966"/>
    <w:rsid w:val="00926D03"/>
    <w:rsid w:val="00934036"/>
    <w:rsid w:val="00934889"/>
    <w:rsid w:val="0093562C"/>
    <w:rsid w:val="0094541D"/>
    <w:rsid w:val="009473EA"/>
    <w:rsid w:val="009514F9"/>
    <w:rsid w:val="00954E7E"/>
    <w:rsid w:val="009554D9"/>
    <w:rsid w:val="009572F9"/>
    <w:rsid w:val="00960D0F"/>
    <w:rsid w:val="0098366F"/>
    <w:rsid w:val="009836A1"/>
    <w:rsid w:val="00983A03"/>
    <w:rsid w:val="00983DC9"/>
    <w:rsid w:val="00986063"/>
    <w:rsid w:val="00991F67"/>
    <w:rsid w:val="00992876"/>
    <w:rsid w:val="009933F2"/>
    <w:rsid w:val="00997676"/>
    <w:rsid w:val="009A0DCE"/>
    <w:rsid w:val="009A22CD"/>
    <w:rsid w:val="009A3BB5"/>
    <w:rsid w:val="009A3E4B"/>
    <w:rsid w:val="009B35FD"/>
    <w:rsid w:val="009B6815"/>
    <w:rsid w:val="009C36B1"/>
    <w:rsid w:val="009D1A9B"/>
    <w:rsid w:val="009D2967"/>
    <w:rsid w:val="009D3C2B"/>
    <w:rsid w:val="009E4191"/>
    <w:rsid w:val="009F2AB1"/>
    <w:rsid w:val="009F4FAF"/>
    <w:rsid w:val="009F68F1"/>
    <w:rsid w:val="00A00581"/>
    <w:rsid w:val="00A04529"/>
    <w:rsid w:val="00A0584B"/>
    <w:rsid w:val="00A17135"/>
    <w:rsid w:val="00A21A6F"/>
    <w:rsid w:val="00A232B9"/>
    <w:rsid w:val="00A24E56"/>
    <w:rsid w:val="00A26A62"/>
    <w:rsid w:val="00A33A8C"/>
    <w:rsid w:val="00A35A9B"/>
    <w:rsid w:val="00A4070E"/>
    <w:rsid w:val="00A40CA0"/>
    <w:rsid w:val="00A504A7"/>
    <w:rsid w:val="00A53677"/>
    <w:rsid w:val="00A53BF2"/>
    <w:rsid w:val="00A60D68"/>
    <w:rsid w:val="00A73EFA"/>
    <w:rsid w:val="00A77A3B"/>
    <w:rsid w:val="00A80DDC"/>
    <w:rsid w:val="00A92F6F"/>
    <w:rsid w:val="00A94AC5"/>
    <w:rsid w:val="00A97523"/>
    <w:rsid w:val="00AA7824"/>
    <w:rsid w:val="00AB0FA3"/>
    <w:rsid w:val="00AB1B38"/>
    <w:rsid w:val="00AB45DE"/>
    <w:rsid w:val="00AB48B5"/>
    <w:rsid w:val="00AB73BF"/>
    <w:rsid w:val="00AC335C"/>
    <w:rsid w:val="00AC463E"/>
    <w:rsid w:val="00AC52B1"/>
    <w:rsid w:val="00AC6114"/>
    <w:rsid w:val="00AD334A"/>
    <w:rsid w:val="00AD3BE2"/>
    <w:rsid w:val="00AD3E3D"/>
    <w:rsid w:val="00AE1EE4"/>
    <w:rsid w:val="00AE36EC"/>
    <w:rsid w:val="00AE7406"/>
    <w:rsid w:val="00AF1688"/>
    <w:rsid w:val="00AF46E6"/>
    <w:rsid w:val="00AF5139"/>
    <w:rsid w:val="00B04C4F"/>
    <w:rsid w:val="00B06EDA"/>
    <w:rsid w:val="00B1161F"/>
    <w:rsid w:val="00B11661"/>
    <w:rsid w:val="00B25F18"/>
    <w:rsid w:val="00B27937"/>
    <w:rsid w:val="00B32B4D"/>
    <w:rsid w:val="00B4137E"/>
    <w:rsid w:val="00B54DF7"/>
    <w:rsid w:val="00B56223"/>
    <w:rsid w:val="00B56E79"/>
    <w:rsid w:val="00B57AA7"/>
    <w:rsid w:val="00B637AA"/>
    <w:rsid w:val="00B63BE2"/>
    <w:rsid w:val="00B7592C"/>
    <w:rsid w:val="00B77FC5"/>
    <w:rsid w:val="00B809D3"/>
    <w:rsid w:val="00B84B66"/>
    <w:rsid w:val="00B85475"/>
    <w:rsid w:val="00B87A3C"/>
    <w:rsid w:val="00B9090A"/>
    <w:rsid w:val="00B92196"/>
    <w:rsid w:val="00B9228D"/>
    <w:rsid w:val="00B929EC"/>
    <w:rsid w:val="00B951FC"/>
    <w:rsid w:val="00BB0725"/>
    <w:rsid w:val="00BC408A"/>
    <w:rsid w:val="00BC5023"/>
    <w:rsid w:val="00BC556C"/>
    <w:rsid w:val="00BD42DA"/>
    <w:rsid w:val="00BD4684"/>
    <w:rsid w:val="00BD7C43"/>
    <w:rsid w:val="00BE08A7"/>
    <w:rsid w:val="00BE4391"/>
    <w:rsid w:val="00BF3E48"/>
    <w:rsid w:val="00C053AA"/>
    <w:rsid w:val="00C15F1B"/>
    <w:rsid w:val="00C16288"/>
    <w:rsid w:val="00C17D1D"/>
    <w:rsid w:val="00C26410"/>
    <w:rsid w:val="00C32329"/>
    <w:rsid w:val="00C45923"/>
    <w:rsid w:val="00C512DF"/>
    <w:rsid w:val="00C543E7"/>
    <w:rsid w:val="00C636D1"/>
    <w:rsid w:val="00C70225"/>
    <w:rsid w:val="00C72198"/>
    <w:rsid w:val="00C73C7D"/>
    <w:rsid w:val="00C75005"/>
    <w:rsid w:val="00C80827"/>
    <w:rsid w:val="00C970DF"/>
    <w:rsid w:val="00CA7E71"/>
    <w:rsid w:val="00CB23E7"/>
    <w:rsid w:val="00CB2673"/>
    <w:rsid w:val="00CB701D"/>
    <w:rsid w:val="00CC3F0E"/>
    <w:rsid w:val="00CD08C9"/>
    <w:rsid w:val="00CD1FE8"/>
    <w:rsid w:val="00CD38CD"/>
    <w:rsid w:val="00CD3E0C"/>
    <w:rsid w:val="00CD4C40"/>
    <w:rsid w:val="00CD5565"/>
    <w:rsid w:val="00CD616C"/>
    <w:rsid w:val="00CD668C"/>
    <w:rsid w:val="00CF68D6"/>
    <w:rsid w:val="00CF7B4A"/>
    <w:rsid w:val="00D009F8"/>
    <w:rsid w:val="00D078DA"/>
    <w:rsid w:val="00D14995"/>
    <w:rsid w:val="00D204F2"/>
    <w:rsid w:val="00D2455C"/>
    <w:rsid w:val="00D25023"/>
    <w:rsid w:val="00D27F8C"/>
    <w:rsid w:val="00D33843"/>
    <w:rsid w:val="00D34CD2"/>
    <w:rsid w:val="00D50B3B"/>
    <w:rsid w:val="00D54A6F"/>
    <w:rsid w:val="00D57D57"/>
    <w:rsid w:val="00D62E42"/>
    <w:rsid w:val="00D752C9"/>
    <w:rsid w:val="00D772FB"/>
    <w:rsid w:val="00D87C78"/>
    <w:rsid w:val="00DA1AA0"/>
    <w:rsid w:val="00DA512B"/>
    <w:rsid w:val="00DA740D"/>
    <w:rsid w:val="00DC1BD6"/>
    <w:rsid w:val="00DC44A8"/>
    <w:rsid w:val="00DE4BEE"/>
    <w:rsid w:val="00DE5B3D"/>
    <w:rsid w:val="00DE7112"/>
    <w:rsid w:val="00DF19BE"/>
    <w:rsid w:val="00DF3B44"/>
    <w:rsid w:val="00E1372E"/>
    <w:rsid w:val="00E21D30"/>
    <w:rsid w:val="00E24D9A"/>
    <w:rsid w:val="00E27805"/>
    <w:rsid w:val="00E27A11"/>
    <w:rsid w:val="00E30497"/>
    <w:rsid w:val="00E31EAB"/>
    <w:rsid w:val="00E358A2"/>
    <w:rsid w:val="00E35C21"/>
    <w:rsid w:val="00E35C9A"/>
    <w:rsid w:val="00E3771B"/>
    <w:rsid w:val="00E37F94"/>
    <w:rsid w:val="00E40979"/>
    <w:rsid w:val="00E43F26"/>
    <w:rsid w:val="00E52A36"/>
    <w:rsid w:val="00E6378B"/>
    <w:rsid w:val="00E63EC3"/>
    <w:rsid w:val="00E653DA"/>
    <w:rsid w:val="00E65958"/>
    <w:rsid w:val="00E717BE"/>
    <w:rsid w:val="00E826C4"/>
    <w:rsid w:val="00E84FE5"/>
    <w:rsid w:val="00E86B70"/>
    <w:rsid w:val="00E879A5"/>
    <w:rsid w:val="00E879FC"/>
    <w:rsid w:val="00E92B85"/>
    <w:rsid w:val="00EA1CAC"/>
    <w:rsid w:val="00EA2574"/>
    <w:rsid w:val="00EA2F1F"/>
    <w:rsid w:val="00EA3F2E"/>
    <w:rsid w:val="00EA57EC"/>
    <w:rsid w:val="00EA6208"/>
    <w:rsid w:val="00EB120E"/>
    <w:rsid w:val="00EB34C8"/>
    <w:rsid w:val="00EB46E2"/>
    <w:rsid w:val="00EC0045"/>
    <w:rsid w:val="00EC2249"/>
    <w:rsid w:val="00ED2AE3"/>
    <w:rsid w:val="00ED44FB"/>
    <w:rsid w:val="00ED452E"/>
    <w:rsid w:val="00EE13A0"/>
    <w:rsid w:val="00EE3CDA"/>
    <w:rsid w:val="00EF37A8"/>
    <w:rsid w:val="00EF46B2"/>
    <w:rsid w:val="00EF531F"/>
    <w:rsid w:val="00F01B0D"/>
    <w:rsid w:val="00F05FE8"/>
    <w:rsid w:val="00F06D86"/>
    <w:rsid w:val="00F13AAE"/>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46E5"/>
    <w:rsid w:val="00F657C5"/>
    <w:rsid w:val="00F900B4"/>
    <w:rsid w:val="00FA0F2E"/>
    <w:rsid w:val="00FA4DB1"/>
    <w:rsid w:val="00FB3F2A"/>
    <w:rsid w:val="00FB685D"/>
    <w:rsid w:val="00FC3593"/>
    <w:rsid w:val="00FD117D"/>
    <w:rsid w:val="00FD35FA"/>
    <w:rsid w:val="00FD72E3"/>
    <w:rsid w:val="00FE06FC"/>
    <w:rsid w:val="00FF0315"/>
    <w:rsid w:val="00FF2121"/>
    <w:rsid w:val="00FF4D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8F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968F3"/>
    <w:rPr>
      <w:rFonts w:ascii="Times New Roman" w:hAnsi="Times New Roman"/>
      <w:b w:val="0"/>
      <w:i w:val="0"/>
      <w:sz w:val="22"/>
    </w:rPr>
  </w:style>
  <w:style w:type="paragraph" w:styleId="NoSpacing">
    <w:name w:val="No Spacing"/>
    <w:uiPriority w:val="1"/>
    <w:qFormat/>
    <w:rsid w:val="006968F3"/>
    <w:pPr>
      <w:spacing w:after="0" w:line="240" w:lineRule="auto"/>
    </w:pPr>
  </w:style>
  <w:style w:type="paragraph" w:customStyle="1" w:styleId="scemptylineheader">
    <w:name w:val="sc_emptyline_header"/>
    <w:qFormat/>
    <w:rsid w:val="006968F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968F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968F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968F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968F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968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968F3"/>
    <w:rPr>
      <w:color w:val="808080"/>
    </w:rPr>
  </w:style>
  <w:style w:type="paragraph" w:customStyle="1" w:styleId="scdirectionallanguage">
    <w:name w:val="sc_directional_language"/>
    <w:qFormat/>
    <w:rsid w:val="006968F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968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968F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968F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968F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968F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968F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968F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968F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968F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968F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968F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968F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968F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968F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968F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968F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968F3"/>
    <w:rPr>
      <w:rFonts w:ascii="Times New Roman" w:hAnsi="Times New Roman"/>
      <w:color w:val="auto"/>
      <w:sz w:val="22"/>
    </w:rPr>
  </w:style>
  <w:style w:type="paragraph" w:customStyle="1" w:styleId="scclippagebillheader">
    <w:name w:val="sc_clip_page_bill_header"/>
    <w:qFormat/>
    <w:rsid w:val="006968F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968F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968F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96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8F3"/>
    <w:rPr>
      <w:lang w:val="en-US"/>
    </w:rPr>
  </w:style>
  <w:style w:type="paragraph" w:styleId="Footer">
    <w:name w:val="footer"/>
    <w:basedOn w:val="Normal"/>
    <w:link w:val="FooterChar"/>
    <w:uiPriority w:val="99"/>
    <w:unhideWhenUsed/>
    <w:rsid w:val="00696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8F3"/>
    <w:rPr>
      <w:lang w:val="en-US"/>
    </w:rPr>
  </w:style>
  <w:style w:type="paragraph" w:styleId="ListParagraph">
    <w:name w:val="List Paragraph"/>
    <w:basedOn w:val="Normal"/>
    <w:uiPriority w:val="34"/>
    <w:qFormat/>
    <w:rsid w:val="006968F3"/>
    <w:pPr>
      <w:ind w:left="720"/>
      <w:contextualSpacing/>
    </w:pPr>
  </w:style>
  <w:style w:type="paragraph" w:customStyle="1" w:styleId="scbillfooter">
    <w:name w:val="sc_bill_footer"/>
    <w:qFormat/>
    <w:rsid w:val="006968F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96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968F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968F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968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968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968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968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968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968F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968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968F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968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968F3"/>
    <w:pPr>
      <w:widowControl w:val="0"/>
      <w:suppressAutoHyphens/>
      <w:spacing w:after="0" w:line="360" w:lineRule="auto"/>
    </w:pPr>
    <w:rPr>
      <w:rFonts w:ascii="Times New Roman" w:hAnsi="Times New Roman"/>
      <w:lang w:val="en-US"/>
    </w:rPr>
  </w:style>
  <w:style w:type="paragraph" w:customStyle="1" w:styleId="sctableln">
    <w:name w:val="sc_table_ln"/>
    <w:qFormat/>
    <w:rsid w:val="006968F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968F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968F3"/>
    <w:rPr>
      <w:strike/>
      <w:dstrike w:val="0"/>
    </w:rPr>
  </w:style>
  <w:style w:type="character" w:customStyle="1" w:styleId="scinsert">
    <w:name w:val="sc_insert"/>
    <w:uiPriority w:val="1"/>
    <w:qFormat/>
    <w:rsid w:val="006968F3"/>
    <w:rPr>
      <w:caps w:val="0"/>
      <w:smallCaps w:val="0"/>
      <w:strike w:val="0"/>
      <w:dstrike w:val="0"/>
      <w:vanish w:val="0"/>
      <w:u w:val="single"/>
      <w:vertAlign w:val="baseline"/>
    </w:rPr>
  </w:style>
  <w:style w:type="character" w:customStyle="1" w:styleId="scinsertred">
    <w:name w:val="sc_insert_red"/>
    <w:uiPriority w:val="1"/>
    <w:qFormat/>
    <w:rsid w:val="006968F3"/>
    <w:rPr>
      <w:caps w:val="0"/>
      <w:smallCaps w:val="0"/>
      <w:strike w:val="0"/>
      <w:dstrike w:val="0"/>
      <w:vanish w:val="0"/>
      <w:color w:val="FF0000"/>
      <w:u w:val="single"/>
      <w:vertAlign w:val="baseline"/>
    </w:rPr>
  </w:style>
  <w:style w:type="character" w:customStyle="1" w:styleId="scinsertblue">
    <w:name w:val="sc_insert_blue"/>
    <w:uiPriority w:val="1"/>
    <w:qFormat/>
    <w:rsid w:val="006968F3"/>
    <w:rPr>
      <w:caps w:val="0"/>
      <w:smallCaps w:val="0"/>
      <w:strike w:val="0"/>
      <w:dstrike w:val="0"/>
      <w:vanish w:val="0"/>
      <w:color w:val="0070C0"/>
      <w:u w:val="single"/>
      <w:vertAlign w:val="baseline"/>
    </w:rPr>
  </w:style>
  <w:style w:type="character" w:customStyle="1" w:styleId="scstrikered">
    <w:name w:val="sc_strike_red"/>
    <w:uiPriority w:val="1"/>
    <w:qFormat/>
    <w:rsid w:val="006968F3"/>
    <w:rPr>
      <w:strike/>
      <w:dstrike w:val="0"/>
      <w:color w:val="FF0000"/>
    </w:rPr>
  </w:style>
  <w:style w:type="character" w:customStyle="1" w:styleId="scstrikeblue">
    <w:name w:val="sc_strike_blue"/>
    <w:uiPriority w:val="1"/>
    <w:qFormat/>
    <w:rsid w:val="006968F3"/>
    <w:rPr>
      <w:strike/>
      <w:dstrike w:val="0"/>
      <w:color w:val="0070C0"/>
    </w:rPr>
  </w:style>
  <w:style w:type="character" w:customStyle="1" w:styleId="scinsertbluenounderline">
    <w:name w:val="sc_insert_blue_no_underline"/>
    <w:uiPriority w:val="1"/>
    <w:qFormat/>
    <w:rsid w:val="006968F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968F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968F3"/>
    <w:rPr>
      <w:strike/>
      <w:dstrike w:val="0"/>
      <w:color w:val="0070C0"/>
      <w:lang w:val="en-US"/>
    </w:rPr>
  </w:style>
  <w:style w:type="character" w:customStyle="1" w:styleId="scstrikerednoncodified">
    <w:name w:val="sc_strike_red_non_codified"/>
    <w:uiPriority w:val="1"/>
    <w:qFormat/>
    <w:rsid w:val="006968F3"/>
    <w:rPr>
      <w:strike/>
      <w:dstrike w:val="0"/>
      <w:color w:val="FF0000"/>
    </w:rPr>
  </w:style>
  <w:style w:type="paragraph" w:customStyle="1" w:styleId="scbillsiglines">
    <w:name w:val="sc_bill_sig_lines"/>
    <w:qFormat/>
    <w:rsid w:val="006968F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8F3"/>
    <w:rPr>
      <w:bdr w:val="none" w:sz="0" w:space="0" w:color="auto"/>
      <w:shd w:val="clear" w:color="auto" w:fill="FEC6C6"/>
    </w:rPr>
  </w:style>
  <w:style w:type="character" w:customStyle="1" w:styleId="screstoreblue">
    <w:name w:val="sc_restore_blue"/>
    <w:uiPriority w:val="1"/>
    <w:qFormat/>
    <w:rsid w:val="006968F3"/>
    <w:rPr>
      <w:color w:val="4472C4" w:themeColor="accent1"/>
      <w:bdr w:val="none" w:sz="0" w:space="0" w:color="auto"/>
      <w:shd w:val="clear" w:color="auto" w:fill="auto"/>
    </w:rPr>
  </w:style>
  <w:style w:type="character" w:customStyle="1" w:styleId="screstorered">
    <w:name w:val="sc_restore_red"/>
    <w:uiPriority w:val="1"/>
    <w:qFormat/>
    <w:rsid w:val="006968F3"/>
    <w:rPr>
      <w:color w:val="FF0000"/>
      <w:bdr w:val="none" w:sz="0" w:space="0" w:color="auto"/>
      <w:shd w:val="clear" w:color="auto" w:fill="auto"/>
    </w:rPr>
  </w:style>
  <w:style w:type="character" w:customStyle="1" w:styleId="scstrikenewblue">
    <w:name w:val="sc_strike_new_blue"/>
    <w:uiPriority w:val="1"/>
    <w:qFormat/>
    <w:rsid w:val="006968F3"/>
    <w:rPr>
      <w:strike w:val="0"/>
      <w:dstrike/>
      <w:color w:val="0070C0"/>
      <w:u w:val="none"/>
    </w:rPr>
  </w:style>
  <w:style w:type="character" w:customStyle="1" w:styleId="scstrikenewred">
    <w:name w:val="sc_strike_new_red"/>
    <w:uiPriority w:val="1"/>
    <w:qFormat/>
    <w:rsid w:val="006968F3"/>
    <w:rPr>
      <w:strike w:val="0"/>
      <w:dstrike/>
      <w:color w:val="FF0000"/>
      <w:u w:val="none"/>
    </w:rPr>
  </w:style>
  <w:style w:type="character" w:customStyle="1" w:styleId="scamendsenate">
    <w:name w:val="sc_amend_senate"/>
    <w:uiPriority w:val="1"/>
    <w:qFormat/>
    <w:rsid w:val="006968F3"/>
    <w:rPr>
      <w:bdr w:val="none" w:sz="0" w:space="0" w:color="auto"/>
      <w:shd w:val="clear" w:color="auto" w:fill="FFF2CC" w:themeFill="accent4" w:themeFillTint="33"/>
    </w:rPr>
  </w:style>
  <w:style w:type="character" w:customStyle="1" w:styleId="scamendhouse">
    <w:name w:val="sc_amend_house"/>
    <w:uiPriority w:val="1"/>
    <w:qFormat/>
    <w:rsid w:val="006968F3"/>
    <w:rPr>
      <w:bdr w:val="none" w:sz="0" w:space="0" w:color="auto"/>
      <w:shd w:val="clear" w:color="auto" w:fill="E2EFD9" w:themeFill="accent6" w:themeFillTint="33"/>
    </w:rPr>
  </w:style>
  <w:style w:type="paragraph" w:styleId="Revision">
    <w:name w:val="Revision"/>
    <w:hidden/>
    <w:uiPriority w:val="99"/>
    <w:semiHidden/>
    <w:rsid w:val="008A58F4"/>
    <w:pPr>
      <w:spacing w:after="0" w:line="240" w:lineRule="auto"/>
    </w:pPr>
    <w:rPr>
      <w:lang w:val="en-US"/>
    </w:rPr>
  </w:style>
  <w:style w:type="character" w:styleId="CommentReference">
    <w:name w:val="annotation reference"/>
    <w:basedOn w:val="DefaultParagraphFont"/>
    <w:uiPriority w:val="99"/>
    <w:semiHidden/>
    <w:unhideWhenUsed/>
    <w:rsid w:val="009A3BB5"/>
    <w:rPr>
      <w:sz w:val="16"/>
      <w:szCs w:val="16"/>
    </w:rPr>
  </w:style>
  <w:style w:type="paragraph" w:styleId="CommentText">
    <w:name w:val="annotation text"/>
    <w:basedOn w:val="Normal"/>
    <w:link w:val="CommentTextChar"/>
    <w:uiPriority w:val="99"/>
    <w:unhideWhenUsed/>
    <w:rsid w:val="009A3BB5"/>
    <w:pPr>
      <w:spacing w:line="240" w:lineRule="auto"/>
    </w:pPr>
    <w:rPr>
      <w:sz w:val="20"/>
      <w:szCs w:val="20"/>
    </w:rPr>
  </w:style>
  <w:style w:type="character" w:customStyle="1" w:styleId="CommentTextChar">
    <w:name w:val="Comment Text Char"/>
    <w:basedOn w:val="DefaultParagraphFont"/>
    <w:link w:val="CommentText"/>
    <w:uiPriority w:val="99"/>
    <w:rsid w:val="009A3BB5"/>
    <w:rPr>
      <w:sz w:val="20"/>
      <w:szCs w:val="20"/>
      <w:lang w:val="en-US"/>
    </w:rPr>
  </w:style>
  <w:style w:type="paragraph" w:styleId="CommentSubject">
    <w:name w:val="annotation subject"/>
    <w:basedOn w:val="CommentText"/>
    <w:next w:val="CommentText"/>
    <w:link w:val="CommentSubjectChar"/>
    <w:uiPriority w:val="99"/>
    <w:semiHidden/>
    <w:unhideWhenUsed/>
    <w:rsid w:val="009A3BB5"/>
    <w:rPr>
      <w:b/>
      <w:bCs/>
    </w:rPr>
  </w:style>
  <w:style w:type="character" w:customStyle="1" w:styleId="CommentSubjectChar">
    <w:name w:val="Comment Subject Char"/>
    <w:basedOn w:val="CommentTextChar"/>
    <w:link w:val="CommentSubject"/>
    <w:uiPriority w:val="99"/>
    <w:semiHidden/>
    <w:rsid w:val="009A3BB5"/>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86&amp;session=126&amp;summary=B" TargetMode="External" Id="R41d8397fdbbc4727" /><Relationship Type="http://schemas.openxmlformats.org/officeDocument/2006/relationships/hyperlink" Target="https://www.scstatehouse.gov/sess126_2025-2026/prever/286_20250129.docx" TargetMode="External" Id="Rd20f20085c09446a" /><Relationship Type="http://schemas.openxmlformats.org/officeDocument/2006/relationships/hyperlink" Target="h:\sj\20250129.docx" TargetMode="External" Id="R8061ac8edfb54269" /><Relationship Type="http://schemas.openxmlformats.org/officeDocument/2006/relationships/hyperlink" Target="h:\sj\20250129.docx" TargetMode="External" Id="R2400787423134b1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4C5E"/>
    <w:rsid w:val="001A769B"/>
    <w:rsid w:val="001B20DA"/>
    <w:rsid w:val="001C48FD"/>
    <w:rsid w:val="002A7C8A"/>
    <w:rsid w:val="002D4365"/>
    <w:rsid w:val="003877BC"/>
    <w:rsid w:val="003E4FBC"/>
    <w:rsid w:val="003F4940"/>
    <w:rsid w:val="004E2BB5"/>
    <w:rsid w:val="00580C56"/>
    <w:rsid w:val="006B363F"/>
    <w:rsid w:val="007070D2"/>
    <w:rsid w:val="00776F2C"/>
    <w:rsid w:val="00873307"/>
    <w:rsid w:val="008F7723"/>
    <w:rsid w:val="009031EF"/>
    <w:rsid w:val="00912A5F"/>
    <w:rsid w:val="00940EED"/>
    <w:rsid w:val="00983DC9"/>
    <w:rsid w:val="00985255"/>
    <w:rsid w:val="009C3651"/>
    <w:rsid w:val="00A51DBA"/>
    <w:rsid w:val="00B20DA6"/>
    <w:rsid w:val="00B457AF"/>
    <w:rsid w:val="00BD7C43"/>
    <w:rsid w:val="00C818FB"/>
    <w:rsid w:val="00CC0451"/>
    <w:rsid w:val="00D6665C"/>
    <w:rsid w:val="00D900BD"/>
    <w:rsid w:val="00E76813"/>
    <w:rsid w:val="00EE13A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07feb924-a50b-4532-8574-34d97827af9e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2025-01-29T00:00:00-05:00</T_BILL_DT_VERSION>
  <T_BILL_D_INTRODATE>2025-01-29</T_BILL_D_INTRODATE>
  <T_BILL_D_SENATEINTRODATE>2025-01-29</T_BILL_D_SENATEINTRODATE>
  <T_BILL_N_INTERNALVERSIONNUMBER>1</T_BILL_N_INTERNALVERSIONNUMBER>
  <T_BILL_N_SESSION>126</T_BILL_N_SESSION>
  <T_BILL_N_VERSIONNUMBER>1</T_BILL_N_VERSIONNUMBER>
  <T_BILL_N_YEAR>2025</T_BILL_N_YEAR>
  <T_BILL_REQUEST_REQUEST>2dcc1280-658a-438b-8a6b-9799994fcb9b</T_BILL_REQUEST_REQUEST>
  <T_BILL_R_ORIGINALDRAFT>f485cb8c-57f7-4f59-bf47-5d98bedf57ce</T_BILL_R_ORIGINALDRAFT>
  <T_BILL_SPONSOR_SPONSOR>9a1bd007-34f0-48a7-b2d2-4dddd173c11b</T_BILL_SPONSOR_SPONSOR>
  <T_BILL_T_BILLNAME>[0286]</T_BILL_T_BILLNAME>
  <T_BILL_T_BILLNUMBER>286</T_BILL_T_BILLNUMBER>
  <T_BILL_T_BILLTITLE>TO AMEND THE SOUTH CAROLINA CODE OF LAWS BY AMENDING SECTION 42‑15‑90, RELATING TO FEES OF ATTORNEYS AND PHYSICIANS AND HOSPITAL CHARGES APPROVED BY COMMISSION, SO AS TO ALLOW THE WORKERS’ COMPENSATION COMMISSION TO ESTABLISH MEDICAL FEE SCHEDULES AND RELATED SYSTEMS, AND PROVIDE THAT THE WORKERS’ COMPENSATION COMMISSION SHALL REVIEW THE FEE SCHEDULES ON AN ANNUAL BASIS AND WHEN APPROPRIATE TO INCLUDE FACTORS SUCH AS THE MEDICAL CONSUMER PRICE INDEX AND THE FEE SCHEDULES OF OTHER STATES IN THE REGION.</T_BILL_T_BILLTITLE>
  <T_BILL_T_CHAMBER>senate</T_BILL_T_CHAMBER>
  <T_BILL_T_FILENAME> </T_BILL_T_FILENAME>
  <T_BILL_T_LEGTYPE>bill_statewide</T_BILL_T_LEGTYPE>
  <T_BILL_T_RATNUMBERSTRING>SNone</T_BILL_T_RATNUMBERSTRING>
  <T_BILL_T_SECTIONS>[{"SectionUUID":"071c5fc9-9387-4586-b639-10ccc9c322eb","SectionName":"code_section","SectionNumber":1,"SectionType":"code_section","CodeSections":[{"CodeSectionBookmarkName":"cs_T42C15N90_e267cc373","IsConstitutionSection":false,"Identity":"42-15-90","IsNew":false,"SubSections":[{"Level":1,"Identity":"T42C15N90SA","SubSectionBookmarkName":"ss_T42C15N90SA_lv1_8b74366ab","IsNewSubSection":false,"SubSectionReplacement":""},{"Level":1,"Identity":"T42C15N90SB","SubSectionBookmarkName":"ss_T42C15N90SB_lv1_c23afdc0d","IsNewSubSection":false,"SubSectionReplacement":""},{"Level":2,"Identity":"T42C15N90S1","SubSectionBookmarkName":"ss_T42C15N90S1_lv2_b879e598b","IsNewSubSection":false,"SubSectionReplacement":""},{"Level":3,"Identity":"T42C15N90Sa","SubSectionBookmarkName":"ss_T42C15N90Sa_lv3_7a4deb631","IsNewSubSection":false,"SubSectionReplacement":""},{"Level":3,"Identity":"T42C15N90Sb","SubSectionBookmarkName":"ss_T42C15N90Sb_lv3_61f87debb","IsNewSubSection":false,"SubSectionReplacement":""},{"Level":2,"Identity":"T42C15N90S2","SubSectionBookmarkName":"ss_T42C15N90S2_lv2_ba71e5f61","IsNewSubSection":false,"SubSectionReplacement":""},{"Level":4,"Identity":"T42C15N90SC","SubSectionBookmarkName":"ss_T42C15N90SC_lv4_5cba57cce","IsNewSubSection":false,"SubSectionReplacement":""},{"Level":5,"Identity":"T42C15N90S1","SubSectionBookmarkName":"ss_T42C15N90S1_lv5_0f1610e63","IsNewSubSection":false,"SubSectionReplacement":""},{"Level":5,"Identity":"T42C15N90S2","SubSectionBookmarkName":"ss_T42C15N90S2_lv5_22ae320ef","IsNewSubSection":false,"SubSectionReplacement":""},{"Level":5,"Identity":"T42C15N90S3","SubSectionBookmarkName":"ss_T42C15N90S3_lv5_7b774439f","IsNewSubSection":false,"SubSectionReplacement":""}],"TitleRelatedTo":"Fees of attorneys and physicians and hospital charges approved by commission","TitleSoAsTo":"allow the Workers' Compensation Commission to establish medical fee schedules and related systems and provide the Workers' Compensation Commission shall review teh fee schedules on an annual basis and when appropriate and include factors such as teh medical consumer price index and the fee schedules of other states in the region","Deleted":false}],"TitleText":"","DisableControls":false,"Deleted":false,"RepealItems":[],"SectionBookmarkName":"bs_num_1_3c53b850d"},{"SectionUUID":"8f03ca95-8faa-4d43-a9c2-8afc498075bd","SectionName":"standard_eff_date_section","SectionNumber":2,"SectionType":"drafting_clause","CodeSections":[],"TitleText":"","DisableControls":false,"Deleted":false,"RepealItems":[],"SectionBookmarkName":"bs_num_2_lastsection"}]</T_BILL_T_SECTIONS>
  <T_BILL_T_SUBJECT>Medical Fee Schedule</T_BILL_T_SUBJECT>
  <T_BILL_UR_DRAFTER>maurabaker@scsenate.gov</T_BILL_UR_DRAFTER>
  <T_BILL_UR_DRAFTINGASSISTANT>maxinehenry@scsenate.gov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4057</Characters>
  <Application>Microsoft Office Word</Application>
  <DocSecurity>0</DocSecurity>
  <Lines>79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2025-01-15T17:06:00Z</cp:lastPrinted>
  <dcterms:created xsi:type="dcterms:W3CDTF">2025-02-04T15:36:00Z</dcterms:created>
  <dcterms:modified xsi:type="dcterms:W3CDTF">2025-02-04T15:36:00Z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