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Chumley and Edgerton</w:t>
      </w:r>
    </w:p>
    <w:p>
      <w:pPr>
        <w:widowControl w:val="false"/>
        <w:spacing w:after="0"/>
        <w:jc w:val="left"/>
      </w:pPr>
      <w:r>
        <w:rPr>
          <w:rFonts w:ascii="Times New Roman"/>
          <w:sz w:val="22"/>
        </w:rPr>
        <w:t xml:space="preserve">Document Path: LC-0056WAB25.docx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Noncitizen Terrorist Activity Prohibition in Public Institutions of Higher Learning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3f1fae738b4b43">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af165979bf449ee">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22f6a360a2ef4e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2f7a1690fe42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2541C" w:rsidRDefault="00432135" w14:paraId="47642A99" w14:textId="3895DA6A">
      <w:pPr>
        <w:pStyle w:val="scemptylineheader"/>
      </w:pPr>
    </w:p>
    <w:p w:rsidRPr="00BB0725" w:rsidR="00A73EFA" w:rsidP="00A2541C" w:rsidRDefault="00A73EFA" w14:paraId="7B72410E" w14:textId="67E8F8C2">
      <w:pPr>
        <w:pStyle w:val="scemptylineheader"/>
      </w:pPr>
    </w:p>
    <w:p w:rsidRPr="00BB0725" w:rsidR="00A73EFA" w:rsidP="00A2541C" w:rsidRDefault="00A73EFA" w14:paraId="6AD935C9" w14:textId="6F9C2C06">
      <w:pPr>
        <w:pStyle w:val="scemptylineheader"/>
      </w:pPr>
    </w:p>
    <w:p w:rsidRPr="00DF3B44" w:rsidR="00A73EFA" w:rsidP="00A2541C" w:rsidRDefault="00A73EFA" w14:paraId="51A98227" w14:textId="5551E48E">
      <w:pPr>
        <w:pStyle w:val="scemptylineheader"/>
      </w:pPr>
    </w:p>
    <w:p w:rsidRPr="00DF3B44" w:rsidR="00A73EFA" w:rsidP="00A2541C" w:rsidRDefault="00A73EFA" w14:paraId="3858851A" w14:textId="41B9F786">
      <w:pPr>
        <w:pStyle w:val="scemptylineheader"/>
      </w:pPr>
    </w:p>
    <w:p w:rsidRPr="00DF3B44" w:rsidR="00A73EFA" w:rsidP="00A2541C" w:rsidRDefault="00A73EFA" w14:paraId="4E3DDE20" w14:textId="1659A4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2E25" w14:paraId="40FEFADA" w14:textId="3CD799EE">
          <w:pPr>
            <w:pStyle w:val="scbilltitle"/>
          </w:pPr>
          <w:r>
            <w:t xml:space="preserve">TO AMEND THE SOUTH CAROLINA CODE OF LAWS </w:t>
          </w:r>
          <w:r w:rsidR="00804526">
            <w:t>by enacting</w:t>
          </w:r>
          <w:r>
            <w:t xml:space="preserve"> THE “NONCITIZEN TERRORIST ACTIVITY PROHIBITION IN PUBLIC INSTITUTIONS OF HIGHER LEARNING ACT”;</w:t>
          </w:r>
          <w:r w:rsidR="007C543D">
            <w:t xml:space="preserve"> </w:t>
          </w:r>
          <w:r>
            <w:t>BY ADDING SECTION 59‑101‑230 SO AS TO 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w:t>
          </w:r>
        </w:p>
      </w:sdtContent>
    </w:sdt>
    <w:bookmarkStart w:name="at_2054562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03e7298" w:id="1"/>
      <w:r w:rsidRPr="0094541D">
        <w:t>B</w:t>
      </w:r>
      <w:bookmarkEnd w:id="1"/>
      <w:r w:rsidRPr="0094541D">
        <w:t>e it enacted by the General Assembly of the State of South Carolina:</w:t>
      </w:r>
    </w:p>
    <w:p w:rsidR="00EF692B" w:rsidP="00EF692B" w:rsidRDefault="00EF692B" w14:paraId="759C3A9D" w14:textId="77777777">
      <w:pPr>
        <w:pStyle w:val="scemptyline"/>
      </w:pPr>
    </w:p>
    <w:p w:rsidR="00EF692B" w:rsidP="002A6A58" w:rsidRDefault="00EF692B" w14:paraId="59113D32" w14:textId="4171782A">
      <w:pPr>
        <w:pStyle w:val="scnoncodifiedsection"/>
      </w:pPr>
      <w:bookmarkStart w:name="bs_num_1_9ead76f62" w:id="2"/>
      <w:bookmarkStart w:name="citing_act_6cc8e7e83" w:id="3"/>
      <w:r>
        <w:t>S</w:t>
      </w:r>
      <w:bookmarkEnd w:id="2"/>
      <w:r>
        <w:t>ECTION 1.</w:t>
      </w:r>
      <w:r>
        <w:tab/>
      </w:r>
      <w:bookmarkEnd w:id="3"/>
      <w:r w:rsidR="002A6A58">
        <w:rPr>
          <w:shd w:val="clear" w:color="auto" w:fill="FFFFFF"/>
        </w:rPr>
        <w:t>This act may be cited as the “</w:t>
      </w:r>
      <w:r w:rsidRPr="00E358F5" w:rsidR="00E358F5">
        <w:rPr>
          <w:shd w:val="clear" w:color="auto" w:fill="FFFFFF"/>
        </w:rPr>
        <w:t>Noncitizen Terrorist Activity Prohibition in Public Institutions of Higher Learning Act</w:t>
      </w:r>
      <w:r w:rsidR="00804526">
        <w:rPr>
          <w:shd w:val="clear" w:color="auto" w:fill="FFFFFF"/>
        </w:rPr>
        <w:t>.</w:t>
      </w:r>
      <w:r w:rsidR="002A6A58">
        <w:rPr>
          <w:shd w:val="clear" w:color="auto" w:fill="FFFFFF"/>
        </w:rPr>
        <w:t>”</w:t>
      </w:r>
    </w:p>
    <w:p w:rsidR="00E358F5" w:rsidP="00E358F5" w:rsidRDefault="00E358F5" w14:paraId="4239B592" w14:textId="77777777">
      <w:pPr>
        <w:pStyle w:val="scemptyline"/>
      </w:pPr>
    </w:p>
    <w:p w:rsidR="00B906DB" w:rsidP="00B906DB" w:rsidRDefault="00E358F5" w14:paraId="4077F442" w14:textId="77777777">
      <w:pPr>
        <w:pStyle w:val="scdirectionallanguage"/>
      </w:pPr>
      <w:bookmarkStart w:name="bs_num_2_1029f0456" w:id="4"/>
      <w:r>
        <w:t>S</w:t>
      </w:r>
      <w:bookmarkEnd w:id="4"/>
      <w:r>
        <w:t>ECTION 2.</w:t>
      </w:r>
      <w:r>
        <w:tab/>
      </w:r>
      <w:bookmarkStart w:name="dl_073019527" w:id="5"/>
      <w:r w:rsidR="00B906DB">
        <w:t>A</w:t>
      </w:r>
      <w:bookmarkEnd w:id="5"/>
      <w:r w:rsidR="00B906DB">
        <w:t>rticle 2, Chapter 101, Title 59 of the S.C. Code is amended by adding:</w:t>
      </w:r>
    </w:p>
    <w:p w:rsidR="00B906DB" w:rsidP="00B906DB" w:rsidRDefault="00B906DB" w14:paraId="0959DCEC" w14:textId="77777777">
      <w:pPr>
        <w:pStyle w:val="scnewcodesection"/>
      </w:pPr>
      <w:bookmarkStart w:name="open_doc_here" w:id="6"/>
      <w:bookmarkEnd w:id="6"/>
    </w:p>
    <w:p w:rsidR="00934C98" w:rsidP="00934C98" w:rsidRDefault="00B906DB" w14:paraId="3ABA0B06" w14:textId="475554CB">
      <w:pPr>
        <w:pStyle w:val="scnewcodesection"/>
      </w:pPr>
      <w:r>
        <w:tab/>
      </w:r>
      <w:bookmarkStart w:name="ns_T59C101N230_f1c6508cd" w:id="7"/>
      <w:r>
        <w:t>S</w:t>
      </w:r>
      <w:bookmarkEnd w:id="7"/>
      <w:r>
        <w:t>ection 59‑101‑230.</w:t>
      </w:r>
      <w:r>
        <w:tab/>
      </w:r>
      <w:bookmarkStart w:name="ss_T59C101N230SA_lv1_762ba18ef" w:id="8"/>
      <w:r w:rsidR="00934C98">
        <w:t>(</w:t>
      </w:r>
      <w:bookmarkEnd w:id="8"/>
      <w:r w:rsidR="00934C98">
        <w:t xml:space="preserve">A) Each </w:t>
      </w:r>
      <w:r w:rsidR="00CF1E9D">
        <w:t xml:space="preserve">public </w:t>
      </w:r>
      <w:r w:rsidR="00934C98">
        <w:t>institution of higher education in the State must have and enforce a policy that:</w:t>
      </w:r>
    </w:p>
    <w:p w:rsidR="00934C98" w:rsidP="00934C98" w:rsidRDefault="00934C98" w14:paraId="0E45A745" w14:textId="05553791">
      <w:pPr>
        <w:pStyle w:val="scnewcodesection"/>
      </w:pPr>
      <w:r>
        <w:tab/>
      </w:r>
      <w:r>
        <w:tab/>
      </w:r>
      <w:bookmarkStart w:name="ss_T59C101N230S1_lv2_08308c9a0" w:id="9"/>
      <w:r>
        <w:t>(</w:t>
      </w:r>
      <w:bookmarkEnd w:id="9"/>
      <w:r>
        <w:t xml:space="preserve">1) prohibits all students, faculty members, and staff members, if they hold a nonimmigrant visa, from publicly espousing terrorist activity related to an ongoing conflict or, at any time or place, persuading others to endorse or espouse terrorist activity related to an ongoing conflict or to support a terrorist organization, as such terms are defined in 8 U.S.C. sections 1182 and 1227, unless it is the policy or practice of the United States to support such activity or </w:t>
      </w:r>
      <w:proofErr w:type="gramStart"/>
      <w:r>
        <w:t>organization;</w:t>
      </w:r>
      <w:proofErr w:type="gramEnd"/>
    </w:p>
    <w:p w:rsidR="00934C98" w:rsidP="00934C98" w:rsidRDefault="00934C98" w14:paraId="212EBD7D" w14:textId="57B61631">
      <w:pPr>
        <w:pStyle w:val="scnewcodesection"/>
      </w:pPr>
      <w:r>
        <w:tab/>
      </w:r>
      <w:r>
        <w:tab/>
      </w:r>
      <w:bookmarkStart w:name="ss_T59C101N230S2_lv2_56fd60001" w:id="10"/>
      <w:r>
        <w:t>(</w:t>
      </w:r>
      <w:bookmarkEnd w:id="10"/>
      <w:r>
        <w:t xml:space="preserve">2) upon a first finding of guilt or responsibility under item (1), suspends a student or ends a faculty or staff member’s employment for at least one </w:t>
      </w:r>
      <w:proofErr w:type="gramStart"/>
      <w:r>
        <w:t>year;</w:t>
      </w:r>
      <w:proofErr w:type="gramEnd"/>
    </w:p>
    <w:p w:rsidR="00934C98" w:rsidP="00934C98" w:rsidRDefault="00934C98" w14:paraId="19281976" w14:textId="6ED8026D">
      <w:pPr>
        <w:pStyle w:val="scnewcodesection"/>
      </w:pPr>
      <w:r>
        <w:tab/>
      </w:r>
      <w:r>
        <w:tab/>
      </w:r>
      <w:bookmarkStart w:name="ss_T59C101N230S3_lv2_637841f21" w:id="11"/>
      <w:r>
        <w:t>(</w:t>
      </w:r>
      <w:bookmarkEnd w:id="11"/>
      <w:r>
        <w:t xml:space="preserve">3) upon a second finding of guilt or responsibility under item (1), expels a student or ends a faculty or staff member’s employment </w:t>
      </w:r>
      <w:proofErr w:type="gramStart"/>
      <w:r>
        <w:t>permanently;</w:t>
      </w:r>
      <w:proofErr w:type="gramEnd"/>
    </w:p>
    <w:p w:rsidR="00934C98" w:rsidP="00934C98" w:rsidRDefault="00934C98" w14:paraId="32658E6C" w14:textId="23D8F759">
      <w:pPr>
        <w:pStyle w:val="scnewcodesection"/>
      </w:pPr>
      <w:r>
        <w:tab/>
      </w:r>
      <w:r>
        <w:tab/>
      </w:r>
      <w:bookmarkStart w:name="ss_T59C101N230S4_lv2_ca379810e" w:id="12"/>
      <w:r>
        <w:t>(</w:t>
      </w:r>
      <w:bookmarkEnd w:id="12"/>
      <w:r>
        <w:t xml:space="preserve">4) immediately upon suspending or expelling a student or terminating a faculty or staff member under item (1), the institution is required to update the individual’s record in the Department of Homeland Security’s Student Exchange Visitor Information System (SEVIS) or successor system to </w:t>
      </w:r>
      <w:r>
        <w:lastRenderedPageBreak/>
        <w:t>show that the individual is no longer enrolled as a full‑time student of the institution or employed by the institution; and</w:t>
      </w:r>
    </w:p>
    <w:p w:rsidR="00934C98" w:rsidP="00934C98" w:rsidRDefault="00934C98" w14:paraId="7D1594CE" w14:textId="7578F28A">
      <w:pPr>
        <w:pStyle w:val="scnewcodesection"/>
      </w:pPr>
      <w:r>
        <w:tab/>
      </w:r>
      <w:r>
        <w:tab/>
      </w:r>
      <w:bookmarkStart w:name="ss_T59C101N230S5_lv2_ed83c57a1" w:id="13"/>
      <w:r>
        <w:t>(</w:t>
      </w:r>
      <w:bookmarkEnd w:id="13"/>
      <w:r>
        <w:t xml:space="preserve">5) </w:t>
      </w:r>
      <w:r w:rsidR="00804526">
        <w:t>d</w:t>
      </w:r>
      <w:r>
        <w:t xml:space="preserve">oes not permit a student, faculty, or staff member to transfer </w:t>
      </w:r>
      <w:proofErr w:type="gramStart"/>
      <w:r>
        <w:t>to,</w:t>
      </w:r>
      <w:proofErr w:type="gramEnd"/>
      <w:r>
        <w:t xml:space="preserve"> enroll at, or become employed by the institution if the individual has been suspended, expelled</w:t>
      </w:r>
      <w:r w:rsidR="007C543D">
        <w:t>,</w:t>
      </w:r>
      <w:r>
        <w:t xml:space="preserve"> or terminated from another institution of higher education under item (3).</w:t>
      </w:r>
    </w:p>
    <w:p w:rsidR="00934C98" w:rsidP="00934C98" w:rsidRDefault="00934C98" w14:paraId="3FFA9F4B" w14:textId="608EB950">
      <w:pPr>
        <w:pStyle w:val="scnewcodesection"/>
      </w:pPr>
      <w:r>
        <w:tab/>
      </w:r>
      <w:bookmarkStart w:name="ss_T59C101N230SB_lv1_994f9660b" w:id="14"/>
      <w:r>
        <w:t>(</w:t>
      </w:r>
      <w:bookmarkEnd w:id="14"/>
      <w:r>
        <w:t>B) The provisions of subsection (A) include, but are not limited to, holders of F‑1, M‑1, and J‑1 visas.</w:t>
      </w:r>
    </w:p>
    <w:p w:rsidR="00934C98" w:rsidP="00934C98" w:rsidRDefault="00934C98" w14:paraId="0CBDCED9" w14:textId="7CA18777">
      <w:pPr>
        <w:pStyle w:val="scnewcodesection"/>
      </w:pPr>
      <w:r>
        <w:tab/>
      </w:r>
      <w:bookmarkStart w:name="ss_T59C101N230SC_lv1_ab0b52758" w:id="15"/>
      <w:r>
        <w:t>(</w:t>
      </w:r>
      <w:bookmarkEnd w:id="15"/>
      <w:r>
        <w:t>C) Enforcement against individuals:</w:t>
      </w:r>
    </w:p>
    <w:p w:rsidR="00934C98" w:rsidP="00934C98" w:rsidRDefault="00934C98" w14:paraId="68B52310" w14:textId="049423BF">
      <w:pPr>
        <w:pStyle w:val="scnewcodesection"/>
      </w:pPr>
      <w:r>
        <w:tab/>
      </w:r>
      <w:r>
        <w:tab/>
      </w:r>
      <w:bookmarkStart w:name="ss_T59C101N230S1_lv2_5c8850c01" w:id="16"/>
      <w:r>
        <w:t>(</w:t>
      </w:r>
      <w:bookmarkEnd w:id="16"/>
      <w:r>
        <w:t>1) An institution of higher education, upon suspecting or receiving a credible allegation that an individual has violated its policy described in subsection (A)(1), must investigate and, if warranted by the factual results of the investigation, enforce its policy against the individual.</w:t>
      </w:r>
    </w:p>
    <w:p w:rsidR="00934C98" w:rsidP="00934C98" w:rsidRDefault="00934C98" w14:paraId="080EFA8D" w14:textId="7DD12CCA">
      <w:pPr>
        <w:pStyle w:val="scnewcodesection"/>
      </w:pPr>
      <w:r>
        <w:tab/>
      </w:r>
      <w:r>
        <w:tab/>
      </w:r>
      <w:bookmarkStart w:name="ss_T59C101N230S2_lv2_23b14b8c4" w:id="17"/>
      <w:r>
        <w:t>(</w:t>
      </w:r>
      <w:bookmarkEnd w:id="17"/>
      <w:r>
        <w:t>2) The standard of evidence for a finding of guilt or responsibility under the institution’s policy shall be a preponderance‑of‑the‑evidence standard.</w:t>
      </w:r>
    </w:p>
    <w:p w:rsidR="00934C98" w:rsidP="00934C98" w:rsidRDefault="00934C98" w14:paraId="41AEAF9D" w14:textId="0D129251">
      <w:pPr>
        <w:pStyle w:val="scnewcodesection"/>
      </w:pPr>
      <w:r>
        <w:tab/>
      </w:r>
      <w:bookmarkStart w:name="ss_T59C101N230SD_lv1_1b705c3bd" w:id="18"/>
      <w:r>
        <w:t>(</w:t>
      </w:r>
      <w:bookmarkEnd w:id="18"/>
      <w:r>
        <w:t>D) Enforcement against institutions:</w:t>
      </w:r>
    </w:p>
    <w:p w:rsidR="00934C98" w:rsidP="00934C98" w:rsidRDefault="00934C98" w14:paraId="6594034F" w14:textId="74F53F58">
      <w:pPr>
        <w:pStyle w:val="scnewcodesection"/>
      </w:pPr>
      <w:r>
        <w:tab/>
      </w:r>
      <w:r>
        <w:tab/>
      </w:r>
      <w:bookmarkStart w:name="ss_T59C101N230S1_lv2_edf383160" w:id="19"/>
      <w:r>
        <w:t>(</w:t>
      </w:r>
      <w:bookmarkEnd w:id="19"/>
      <w:r>
        <w:t>1) The Attorney General or any other applicable official of the executive or judicial branch of the state may compel an institution of higher education to enforce its policy as described in subsections (A), (B), and (C).</w:t>
      </w:r>
    </w:p>
    <w:p w:rsidR="00934C98" w:rsidP="00934C98" w:rsidRDefault="00934C98" w14:paraId="7A4FCF67" w14:textId="11755040">
      <w:pPr>
        <w:pStyle w:val="scnewcodesection"/>
      </w:pPr>
      <w:r>
        <w:tab/>
      </w:r>
      <w:r>
        <w:tab/>
      </w:r>
      <w:bookmarkStart w:name="ss_T59C101N230S2_lv2_e08459a26" w:id="20"/>
      <w:r>
        <w:t>(</w:t>
      </w:r>
      <w:bookmarkEnd w:id="20"/>
      <w:r>
        <w:t>2) An investigating official under item (1) or the official’s designee may compel production of documents and other evidence from an institution suspected of violating this section, including all education and employment records and other relevant records.</w:t>
      </w:r>
    </w:p>
    <w:p w:rsidR="00E358F5" w:rsidP="00934C98" w:rsidRDefault="00934C98" w14:paraId="452CC354" w14:textId="5799C068">
      <w:pPr>
        <w:pStyle w:val="scnewcodesection"/>
      </w:pPr>
      <w:r>
        <w:tab/>
      </w:r>
      <w:r>
        <w:tab/>
      </w:r>
      <w:bookmarkStart w:name="ss_T59C101N230S3_lv2_3e7bcfdea" w:id="21"/>
      <w:r>
        <w:t>(</w:t>
      </w:r>
      <w:bookmarkEnd w:id="21"/>
      <w:r>
        <w:t>3) If the Attorney General, the Attorney General’s designee, or a court of appropriate jurisdiction determines that an institution of higher education has failed to comply with the provisions of this section, the official or court may issue a fine against the institution of no</w:t>
      </w:r>
      <w:r w:rsidR="007C543D">
        <w:t>t</w:t>
      </w:r>
      <w:r>
        <w:t xml:space="preserve"> less than ten thousand dollars and no</w:t>
      </w:r>
      <w:r w:rsidR="007C543D">
        <w:t>t</w:t>
      </w:r>
      <w:r>
        <w:t xml:space="preserve"> more than one hundred thousand dollars for each violation.</w:t>
      </w:r>
    </w:p>
    <w:p w:rsidR="00CF350A" w:rsidP="00CF350A" w:rsidRDefault="00CF350A" w14:paraId="53F0A8E2" w14:textId="77777777">
      <w:pPr>
        <w:pStyle w:val="scemptyline"/>
      </w:pPr>
    </w:p>
    <w:p w:rsidR="00CF350A" w:rsidP="00484593" w:rsidRDefault="00CF350A" w14:paraId="57E77FDB" w14:textId="45BBECE7">
      <w:pPr>
        <w:pStyle w:val="scnoncodifiedsection"/>
      </w:pPr>
      <w:bookmarkStart w:name="bs_num_3_9395c7b9b" w:id="22"/>
      <w:bookmarkStart w:name="severability_4a41d90d2" w:id="23"/>
      <w:r>
        <w:t>S</w:t>
      </w:r>
      <w:bookmarkEnd w:id="22"/>
      <w:r>
        <w:t>ECTION 3.</w:t>
      </w:r>
      <w:r>
        <w:tab/>
      </w:r>
      <w:bookmarkEnd w:id="23"/>
      <w:r w:rsidRPr="00B0415B" w:rsidR="0048459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28BCA94">
      <w:pPr>
        <w:pStyle w:val="scemptyline"/>
      </w:pPr>
    </w:p>
    <w:p w:rsidRPr="00DF3B44" w:rsidR="007A10F1" w:rsidP="007A10F1" w:rsidRDefault="00E27805" w14:paraId="0E9393B4" w14:textId="62BEB783">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 xml:space="preserve">This act takes effect </w:t>
      </w:r>
      <w:r w:rsidR="00ED5B75">
        <w:t>July 1, 2026</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067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53B22B" w:rsidR="00685035" w:rsidRPr="007B4AF7" w:rsidRDefault="00E812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2DB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5399">
              <w:rPr>
                <w:noProof/>
              </w:rPr>
              <w:t>LC-0056WAB25.docx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272"/>
    <w:rsid w:val="00011182"/>
    <w:rsid w:val="00012912"/>
    <w:rsid w:val="00017D0A"/>
    <w:rsid w:val="00017FB0"/>
    <w:rsid w:val="00020B5D"/>
    <w:rsid w:val="00025A28"/>
    <w:rsid w:val="00026421"/>
    <w:rsid w:val="00030409"/>
    <w:rsid w:val="00037F04"/>
    <w:rsid w:val="000404BF"/>
    <w:rsid w:val="00044B84"/>
    <w:rsid w:val="000479D0"/>
    <w:rsid w:val="0006464F"/>
    <w:rsid w:val="00066B54"/>
    <w:rsid w:val="00072FCD"/>
    <w:rsid w:val="00074A4F"/>
    <w:rsid w:val="00077B65"/>
    <w:rsid w:val="000A3C25"/>
    <w:rsid w:val="000A5459"/>
    <w:rsid w:val="000B4C02"/>
    <w:rsid w:val="000B5171"/>
    <w:rsid w:val="000B5B4A"/>
    <w:rsid w:val="000B7FE1"/>
    <w:rsid w:val="000C3E88"/>
    <w:rsid w:val="000C46B9"/>
    <w:rsid w:val="000C58E4"/>
    <w:rsid w:val="000C6F9A"/>
    <w:rsid w:val="000D2F44"/>
    <w:rsid w:val="000D33E4"/>
    <w:rsid w:val="000D7F35"/>
    <w:rsid w:val="000E578A"/>
    <w:rsid w:val="000F2250"/>
    <w:rsid w:val="000F5F9D"/>
    <w:rsid w:val="0010329A"/>
    <w:rsid w:val="001049C5"/>
    <w:rsid w:val="00105756"/>
    <w:rsid w:val="00112A78"/>
    <w:rsid w:val="001164F9"/>
    <w:rsid w:val="0011719C"/>
    <w:rsid w:val="001215CE"/>
    <w:rsid w:val="00133658"/>
    <w:rsid w:val="00137069"/>
    <w:rsid w:val="00140049"/>
    <w:rsid w:val="00146FE5"/>
    <w:rsid w:val="00171601"/>
    <w:rsid w:val="001730EB"/>
    <w:rsid w:val="00173276"/>
    <w:rsid w:val="00176122"/>
    <w:rsid w:val="0019025B"/>
    <w:rsid w:val="00192AF7"/>
    <w:rsid w:val="0019561C"/>
    <w:rsid w:val="00197366"/>
    <w:rsid w:val="001A136C"/>
    <w:rsid w:val="001B6DA2"/>
    <w:rsid w:val="001C25EC"/>
    <w:rsid w:val="001E75E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320D"/>
    <w:rsid w:val="00264AE9"/>
    <w:rsid w:val="00275AE6"/>
    <w:rsid w:val="002836D8"/>
    <w:rsid w:val="002A6A58"/>
    <w:rsid w:val="002A7989"/>
    <w:rsid w:val="002B02F3"/>
    <w:rsid w:val="002C3463"/>
    <w:rsid w:val="002D266D"/>
    <w:rsid w:val="002D5B3D"/>
    <w:rsid w:val="002D7447"/>
    <w:rsid w:val="002E315A"/>
    <w:rsid w:val="002E4F8C"/>
    <w:rsid w:val="002F560C"/>
    <w:rsid w:val="002F5847"/>
    <w:rsid w:val="0030425A"/>
    <w:rsid w:val="00304E92"/>
    <w:rsid w:val="00315740"/>
    <w:rsid w:val="00317A2E"/>
    <w:rsid w:val="00331093"/>
    <w:rsid w:val="003421F1"/>
    <w:rsid w:val="0034279C"/>
    <w:rsid w:val="003434E2"/>
    <w:rsid w:val="0035136B"/>
    <w:rsid w:val="00354F64"/>
    <w:rsid w:val="003559A1"/>
    <w:rsid w:val="00361563"/>
    <w:rsid w:val="00371D36"/>
    <w:rsid w:val="00373E17"/>
    <w:rsid w:val="003775E6"/>
    <w:rsid w:val="00381998"/>
    <w:rsid w:val="003A5F1C"/>
    <w:rsid w:val="003A6709"/>
    <w:rsid w:val="003C3E2E"/>
    <w:rsid w:val="003D4A3C"/>
    <w:rsid w:val="003D55B2"/>
    <w:rsid w:val="003E0033"/>
    <w:rsid w:val="003E5452"/>
    <w:rsid w:val="003E7165"/>
    <w:rsid w:val="003E7FF6"/>
    <w:rsid w:val="003F0D35"/>
    <w:rsid w:val="004046B5"/>
    <w:rsid w:val="00406F27"/>
    <w:rsid w:val="004141B8"/>
    <w:rsid w:val="004203B9"/>
    <w:rsid w:val="00432135"/>
    <w:rsid w:val="00442E25"/>
    <w:rsid w:val="00446987"/>
    <w:rsid w:val="00446D28"/>
    <w:rsid w:val="00466B42"/>
    <w:rsid w:val="00466B63"/>
    <w:rsid w:val="00466CD0"/>
    <w:rsid w:val="00473583"/>
    <w:rsid w:val="00477F32"/>
    <w:rsid w:val="00481850"/>
    <w:rsid w:val="00484593"/>
    <w:rsid w:val="004851A0"/>
    <w:rsid w:val="0048627F"/>
    <w:rsid w:val="00487979"/>
    <w:rsid w:val="00491827"/>
    <w:rsid w:val="004932AB"/>
    <w:rsid w:val="00494BEF"/>
    <w:rsid w:val="004A5512"/>
    <w:rsid w:val="004A6BE5"/>
    <w:rsid w:val="004B0C18"/>
    <w:rsid w:val="004C1A04"/>
    <w:rsid w:val="004C20BC"/>
    <w:rsid w:val="004C5C9A"/>
    <w:rsid w:val="004D04A7"/>
    <w:rsid w:val="004D1442"/>
    <w:rsid w:val="004D3DCB"/>
    <w:rsid w:val="004E1946"/>
    <w:rsid w:val="004E66E9"/>
    <w:rsid w:val="004E7DDE"/>
    <w:rsid w:val="004F0090"/>
    <w:rsid w:val="004F172C"/>
    <w:rsid w:val="005002ED"/>
    <w:rsid w:val="00500DBC"/>
    <w:rsid w:val="005058C9"/>
    <w:rsid w:val="005102BE"/>
    <w:rsid w:val="00523F7F"/>
    <w:rsid w:val="00524D54"/>
    <w:rsid w:val="00542DB4"/>
    <w:rsid w:val="00544E6B"/>
    <w:rsid w:val="0054531B"/>
    <w:rsid w:val="00546C24"/>
    <w:rsid w:val="005476FF"/>
    <w:rsid w:val="005516F6"/>
    <w:rsid w:val="00552842"/>
    <w:rsid w:val="00554E89"/>
    <w:rsid w:val="00564B58"/>
    <w:rsid w:val="00572281"/>
    <w:rsid w:val="00572DE2"/>
    <w:rsid w:val="005801DD"/>
    <w:rsid w:val="00592A40"/>
    <w:rsid w:val="005A28BC"/>
    <w:rsid w:val="005A5377"/>
    <w:rsid w:val="005B7817"/>
    <w:rsid w:val="005C06C8"/>
    <w:rsid w:val="005C23D7"/>
    <w:rsid w:val="005C40EB"/>
    <w:rsid w:val="005C7471"/>
    <w:rsid w:val="005D02B4"/>
    <w:rsid w:val="005D3013"/>
    <w:rsid w:val="005E1E50"/>
    <w:rsid w:val="005E2B9C"/>
    <w:rsid w:val="005E3332"/>
    <w:rsid w:val="005E3EB6"/>
    <w:rsid w:val="005F634D"/>
    <w:rsid w:val="005F76B0"/>
    <w:rsid w:val="00604429"/>
    <w:rsid w:val="006067B0"/>
    <w:rsid w:val="00606A8B"/>
    <w:rsid w:val="00611EBA"/>
    <w:rsid w:val="006213A8"/>
    <w:rsid w:val="00623BEA"/>
    <w:rsid w:val="00627AB9"/>
    <w:rsid w:val="006347E9"/>
    <w:rsid w:val="00640C87"/>
    <w:rsid w:val="006454BB"/>
    <w:rsid w:val="00657CF4"/>
    <w:rsid w:val="00661463"/>
    <w:rsid w:val="00663B8D"/>
    <w:rsid w:val="00663E00"/>
    <w:rsid w:val="00664F48"/>
    <w:rsid w:val="00664FAD"/>
    <w:rsid w:val="0067345B"/>
    <w:rsid w:val="006828C8"/>
    <w:rsid w:val="00683986"/>
    <w:rsid w:val="00685035"/>
    <w:rsid w:val="00685770"/>
    <w:rsid w:val="00685987"/>
    <w:rsid w:val="00690672"/>
    <w:rsid w:val="00690DBA"/>
    <w:rsid w:val="006964F9"/>
    <w:rsid w:val="006A395F"/>
    <w:rsid w:val="006A65E2"/>
    <w:rsid w:val="006B37BD"/>
    <w:rsid w:val="006B7892"/>
    <w:rsid w:val="006C092D"/>
    <w:rsid w:val="006C099D"/>
    <w:rsid w:val="006C1666"/>
    <w:rsid w:val="006C18F0"/>
    <w:rsid w:val="006C7E01"/>
    <w:rsid w:val="006D64A5"/>
    <w:rsid w:val="006D794E"/>
    <w:rsid w:val="006E0935"/>
    <w:rsid w:val="006E353F"/>
    <w:rsid w:val="006E35AB"/>
    <w:rsid w:val="00711AA9"/>
    <w:rsid w:val="00722155"/>
    <w:rsid w:val="00733526"/>
    <w:rsid w:val="007354A8"/>
    <w:rsid w:val="00737F19"/>
    <w:rsid w:val="007637B7"/>
    <w:rsid w:val="007646FB"/>
    <w:rsid w:val="00782BF8"/>
    <w:rsid w:val="00783C75"/>
    <w:rsid w:val="007849D9"/>
    <w:rsid w:val="00787433"/>
    <w:rsid w:val="00797A95"/>
    <w:rsid w:val="007A0105"/>
    <w:rsid w:val="007A10F1"/>
    <w:rsid w:val="007A3D50"/>
    <w:rsid w:val="007B2D29"/>
    <w:rsid w:val="007B412F"/>
    <w:rsid w:val="007B4AF7"/>
    <w:rsid w:val="007B4DBF"/>
    <w:rsid w:val="007C543D"/>
    <w:rsid w:val="007C5458"/>
    <w:rsid w:val="007D2C67"/>
    <w:rsid w:val="007D5BED"/>
    <w:rsid w:val="007E0252"/>
    <w:rsid w:val="007E06BB"/>
    <w:rsid w:val="007F442E"/>
    <w:rsid w:val="007F50D1"/>
    <w:rsid w:val="0080030A"/>
    <w:rsid w:val="00804526"/>
    <w:rsid w:val="00813102"/>
    <w:rsid w:val="00816D52"/>
    <w:rsid w:val="00831048"/>
    <w:rsid w:val="00834272"/>
    <w:rsid w:val="0083594A"/>
    <w:rsid w:val="008625C1"/>
    <w:rsid w:val="00870FE5"/>
    <w:rsid w:val="0087671D"/>
    <w:rsid w:val="00880628"/>
    <w:rsid w:val="008806F9"/>
    <w:rsid w:val="00887957"/>
    <w:rsid w:val="008A57E3"/>
    <w:rsid w:val="008B378E"/>
    <w:rsid w:val="008B5BF4"/>
    <w:rsid w:val="008C0CEE"/>
    <w:rsid w:val="008C1B18"/>
    <w:rsid w:val="008D46EC"/>
    <w:rsid w:val="008E0E25"/>
    <w:rsid w:val="008E61A1"/>
    <w:rsid w:val="009031EF"/>
    <w:rsid w:val="00911C7B"/>
    <w:rsid w:val="00911F67"/>
    <w:rsid w:val="00912E28"/>
    <w:rsid w:val="00913478"/>
    <w:rsid w:val="00917EA3"/>
    <w:rsid w:val="00917EE0"/>
    <w:rsid w:val="00921C89"/>
    <w:rsid w:val="00925B23"/>
    <w:rsid w:val="00926966"/>
    <w:rsid w:val="00926D03"/>
    <w:rsid w:val="00933DCE"/>
    <w:rsid w:val="00933ED0"/>
    <w:rsid w:val="00934036"/>
    <w:rsid w:val="00934889"/>
    <w:rsid w:val="00934C98"/>
    <w:rsid w:val="0094541D"/>
    <w:rsid w:val="009473EA"/>
    <w:rsid w:val="00954E7E"/>
    <w:rsid w:val="009554D9"/>
    <w:rsid w:val="009572F9"/>
    <w:rsid w:val="00960D0F"/>
    <w:rsid w:val="0098366F"/>
    <w:rsid w:val="00983A03"/>
    <w:rsid w:val="00986063"/>
    <w:rsid w:val="00991F67"/>
    <w:rsid w:val="00992876"/>
    <w:rsid w:val="00995D9A"/>
    <w:rsid w:val="00997D6F"/>
    <w:rsid w:val="009A0DCE"/>
    <w:rsid w:val="009A22CD"/>
    <w:rsid w:val="009A3D9A"/>
    <w:rsid w:val="009A3E4B"/>
    <w:rsid w:val="009B1A66"/>
    <w:rsid w:val="009B35FD"/>
    <w:rsid w:val="009B6815"/>
    <w:rsid w:val="009B7C14"/>
    <w:rsid w:val="009D2967"/>
    <w:rsid w:val="009D3C2B"/>
    <w:rsid w:val="009E4191"/>
    <w:rsid w:val="009E4798"/>
    <w:rsid w:val="009F2AB1"/>
    <w:rsid w:val="009F4FAF"/>
    <w:rsid w:val="009F68F1"/>
    <w:rsid w:val="00A04529"/>
    <w:rsid w:val="00A0584B"/>
    <w:rsid w:val="00A10494"/>
    <w:rsid w:val="00A17135"/>
    <w:rsid w:val="00A21A6F"/>
    <w:rsid w:val="00A24E56"/>
    <w:rsid w:val="00A251A1"/>
    <w:rsid w:val="00A2541C"/>
    <w:rsid w:val="00A26942"/>
    <w:rsid w:val="00A26A62"/>
    <w:rsid w:val="00A35A9B"/>
    <w:rsid w:val="00A4070E"/>
    <w:rsid w:val="00A40CA0"/>
    <w:rsid w:val="00A41009"/>
    <w:rsid w:val="00A504A7"/>
    <w:rsid w:val="00A53677"/>
    <w:rsid w:val="00A53BF2"/>
    <w:rsid w:val="00A60D68"/>
    <w:rsid w:val="00A73EFA"/>
    <w:rsid w:val="00A77A3B"/>
    <w:rsid w:val="00A8349D"/>
    <w:rsid w:val="00A87D7C"/>
    <w:rsid w:val="00A92F6F"/>
    <w:rsid w:val="00A97523"/>
    <w:rsid w:val="00AA7824"/>
    <w:rsid w:val="00AB0FA3"/>
    <w:rsid w:val="00AB73BF"/>
    <w:rsid w:val="00AC335C"/>
    <w:rsid w:val="00AC385C"/>
    <w:rsid w:val="00AC463E"/>
    <w:rsid w:val="00AD3BE2"/>
    <w:rsid w:val="00AD3E3D"/>
    <w:rsid w:val="00AE1EE4"/>
    <w:rsid w:val="00AE36EC"/>
    <w:rsid w:val="00AE4E4A"/>
    <w:rsid w:val="00AE7406"/>
    <w:rsid w:val="00AF1688"/>
    <w:rsid w:val="00AF46E6"/>
    <w:rsid w:val="00AF5139"/>
    <w:rsid w:val="00B06EDA"/>
    <w:rsid w:val="00B1161F"/>
    <w:rsid w:val="00B11661"/>
    <w:rsid w:val="00B12BFB"/>
    <w:rsid w:val="00B32B4D"/>
    <w:rsid w:val="00B4137E"/>
    <w:rsid w:val="00B54DF7"/>
    <w:rsid w:val="00B55BC1"/>
    <w:rsid w:val="00B56223"/>
    <w:rsid w:val="00B56E79"/>
    <w:rsid w:val="00B57AA7"/>
    <w:rsid w:val="00B57E51"/>
    <w:rsid w:val="00B634AA"/>
    <w:rsid w:val="00B637AA"/>
    <w:rsid w:val="00B63BE2"/>
    <w:rsid w:val="00B6563A"/>
    <w:rsid w:val="00B7592C"/>
    <w:rsid w:val="00B809D3"/>
    <w:rsid w:val="00B84B66"/>
    <w:rsid w:val="00B85475"/>
    <w:rsid w:val="00B906DB"/>
    <w:rsid w:val="00B9090A"/>
    <w:rsid w:val="00B92196"/>
    <w:rsid w:val="00B9228D"/>
    <w:rsid w:val="00B929EC"/>
    <w:rsid w:val="00B94AAC"/>
    <w:rsid w:val="00BB0725"/>
    <w:rsid w:val="00BC408A"/>
    <w:rsid w:val="00BC5023"/>
    <w:rsid w:val="00BC556C"/>
    <w:rsid w:val="00BD1062"/>
    <w:rsid w:val="00BD42DA"/>
    <w:rsid w:val="00BD4684"/>
    <w:rsid w:val="00BD5399"/>
    <w:rsid w:val="00BE08A7"/>
    <w:rsid w:val="00BE4391"/>
    <w:rsid w:val="00BE7016"/>
    <w:rsid w:val="00BF3853"/>
    <w:rsid w:val="00BF3E48"/>
    <w:rsid w:val="00C02D4D"/>
    <w:rsid w:val="00C15F1B"/>
    <w:rsid w:val="00C16288"/>
    <w:rsid w:val="00C1662D"/>
    <w:rsid w:val="00C17D1D"/>
    <w:rsid w:val="00C24C0B"/>
    <w:rsid w:val="00C35768"/>
    <w:rsid w:val="00C44145"/>
    <w:rsid w:val="00C45923"/>
    <w:rsid w:val="00C50515"/>
    <w:rsid w:val="00C543E7"/>
    <w:rsid w:val="00C70225"/>
    <w:rsid w:val="00C72198"/>
    <w:rsid w:val="00C73C7D"/>
    <w:rsid w:val="00C75005"/>
    <w:rsid w:val="00C970DF"/>
    <w:rsid w:val="00CA15FA"/>
    <w:rsid w:val="00CA3A78"/>
    <w:rsid w:val="00CA7E71"/>
    <w:rsid w:val="00CB2673"/>
    <w:rsid w:val="00CB701D"/>
    <w:rsid w:val="00CC19D7"/>
    <w:rsid w:val="00CC3F0E"/>
    <w:rsid w:val="00CD08C9"/>
    <w:rsid w:val="00CD1FE8"/>
    <w:rsid w:val="00CD38CD"/>
    <w:rsid w:val="00CD3E0C"/>
    <w:rsid w:val="00CD5565"/>
    <w:rsid w:val="00CD616C"/>
    <w:rsid w:val="00CF1E9D"/>
    <w:rsid w:val="00CF350A"/>
    <w:rsid w:val="00CF68D6"/>
    <w:rsid w:val="00CF7B4A"/>
    <w:rsid w:val="00D009F8"/>
    <w:rsid w:val="00D078DA"/>
    <w:rsid w:val="00D07B5A"/>
    <w:rsid w:val="00D14995"/>
    <w:rsid w:val="00D17BAF"/>
    <w:rsid w:val="00D204F2"/>
    <w:rsid w:val="00D2455C"/>
    <w:rsid w:val="00D25023"/>
    <w:rsid w:val="00D27F8C"/>
    <w:rsid w:val="00D307D3"/>
    <w:rsid w:val="00D33843"/>
    <w:rsid w:val="00D54A6F"/>
    <w:rsid w:val="00D57D57"/>
    <w:rsid w:val="00D62E42"/>
    <w:rsid w:val="00D7714A"/>
    <w:rsid w:val="00D772FB"/>
    <w:rsid w:val="00D8010F"/>
    <w:rsid w:val="00DA1AA0"/>
    <w:rsid w:val="00DA512B"/>
    <w:rsid w:val="00DB495D"/>
    <w:rsid w:val="00DC44A8"/>
    <w:rsid w:val="00DE4BEE"/>
    <w:rsid w:val="00DE5630"/>
    <w:rsid w:val="00DE5B3D"/>
    <w:rsid w:val="00DE7112"/>
    <w:rsid w:val="00DF19BE"/>
    <w:rsid w:val="00DF3B44"/>
    <w:rsid w:val="00E0639E"/>
    <w:rsid w:val="00E11704"/>
    <w:rsid w:val="00E1372E"/>
    <w:rsid w:val="00E21D30"/>
    <w:rsid w:val="00E24D9A"/>
    <w:rsid w:val="00E27805"/>
    <w:rsid w:val="00E27A11"/>
    <w:rsid w:val="00E30497"/>
    <w:rsid w:val="00E33EBD"/>
    <w:rsid w:val="00E358A2"/>
    <w:rsid w:val="00E358F5"/>
    <w:rsid w:val="00E35C9A"/>
    <w:rsid w:val="00E3771B"/>
    <w:rsid w:val="00E40979"/>
    <w:rsid w:val="00E43F26"/>
    <w:rsid w:val="00E52A36"/>
    <w:rsid w:val="00E6378B"/>
    <w:rsid w:val="00E63EC3"/>
    <w:rsid w:val="00E653DA"/>
    <w:rsid w:val="00E65958"/>
    <w:rsid w:val="00E72D3F"/>
    <w:rsid w:val="00E81276"/>
    <w:rsid w:val="00E84FE5"/>
    <w:rsid w:val="00E879A5"/>
    <w:rsid w:val="00E879FC"/>
    <w:rsid w:val="00E901F4"/>
    <w:rsid w:val="00EA1F15"/>
    <w:rsid w:val="00EA2574"/>
    <w:rsid w:val="00EA2F1F"/>
    <w:rsid w:val="00EA3F2E"/>
    <w:rsid w:val="00EA57EC"/>
    <w:rsid w:val="00EA6208"/>
    <w:rsid w:val="00EB120E"/>
    <w:rsid w:val="00EB34C8"/>
    <w:rsid w:val="00EB46E2"/>
    <w:rsid w:val="00EC0045"/>
    <w:rsid w:val="00ED452E"/>
    <w:rsid w:val="00ED5B75"/>
    <w:rsid w:val="00EE3CDA"/>
    <w:rsid w:val="00EF37A8"/>
    <w:rsid w:val="00EF531F"/>
    <w:rsid w:val="00EF692B"/>
    <w:rsid w:val="00F04C51"/>
    <w:rsid w:val="00F05FE8"/>
    <w:rsid w:val="00F06D86"/>
    <w:rsid w:val="00F13D87"/>
    <w:rsid w:val="00F149E5"/>
    <w:rsid w:val="00F15E33"/>
    <w:rsid w:val="00F17DA2"/>
    <w:rsid w:val="00F22EC0"/>
    <w:rsid w:val="00F25C47"/>
    <w:rsid w:val="00F27D7B"/>
    <w:rsid w:val="00F31D34"/>
    <w:rsid w:val="00F342A1"/>
    <w:rsid w:val="00F34D0A"/>
    <w:rsid w:val="00F36FBA"/>
    <w:rsid w:val="00F44D36"/>
    <w:rsid w:val="00F46262"/>
    <w:rsid w:val="00F4795D"/>
    <w:rsid w:val="00F50A61"/>
    <w:rsid w:val="00F50AF9"/>
    <w:rsid w:val="00F518F9"/>
    <w:rsid w:val="00F524D9"/>
    <w:rsid w:val="00F525CD"/>
    <w:rsid w:val="00F5286C"/>
    <w:rsid w:val="00F52E12"/>
    <w:rsid w:val="00F61799"/>
    <w:rsid w:val="00F638CA"/>
    <w:rsid w:val="00F657C5"/>
    <w:rsid w:val="00F900B4"/>
    <w:rsid w:val="00FA0AF2"/>
    <w:rsid w:val="00FA0F2E"/>
    <w:rsid w:val="00FA4DB1"/>
    <w:rsid w:val="00FB1C8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E2"/>
    <w:rPr>
      <w:lang w:val="en-US"/>
    </w:rPr>
  </w:style>
  <w:style w:type="character" w:default="1" w:styleId="DefaultParagraphFont">
    <w:name w:val="Default Paragraph Font"/>
    <w:uiPriority w:val="1"/>
    <w:semiHidden/>
    <w:unhideWhenUsed/>
    <w:rsid w:val="003434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4E2"/>
  </w:style>
  <w:style w:type="character" w:styleId="LineNumber">
    <w:name w:val="line number"/>
    <w:uiPriority w:val="99"/>
    <w:semiHidden/>
    <w:unhideWhenUsed/>
    <w:rsid w:val="003434E2"/>
    <w:rPr>
      <w:rFonts w:ascii="Times New Roman" w:hAnsi="Times New Roman"/>
      <w:b w:val="0"/>
      <w:i w:val="0"/>
      <w:sz w:val="22"/>
    </w:rPr>
  </w:style>
  <w:style w:type="paragraph" w:styleId="NoSpacing">
    <w:name w:val="No Spacing"/>
    <w:uiPriority w:val="1"/>
    <w:qFormat/>
    <w:rsid w:val="003434E2"/>
    <w:pPr>
      <w:spacing w:after="0" w:line="240" w:lineRule="auto"/>
    </w:pPr>
  </w:style>
  <w:style w:type="paragraph" w:customStyle="1" w:styleId="scemptylineheader">
    <w:name w:val="sc_emptyline_header"/>
    <w:qFormat/>
    <w:rsid w:val="003434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34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34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34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34E2"/>
    <w:rPr>
      <w:color w:val="808080"/>
    </w:rPr>
  </w:style>
  <w:style w:type="paragraph" w:customStyle="1" w:styleId="scdirectionallanguage">
    <w:name w:val="sc_directional_language"/>
    <w:qFormat/>
    <w:rsid w:val="003434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34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34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34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34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34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34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34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34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34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34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34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34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34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34E2"/>
    <w:rPr>
      <w:rFonts w:ascii="Times New Roman" w:hAnsi="Times New Roman"/>
      <w:color w:val="auto"/>
      <w:sz w:val="22"/>
    </w:rPr>
  </w:style>
  <w:style w:type="paragraph" w:customStyle="1" w:styleId="scclippagebillheader">
    <w:name w:val="sc_clip_page_bill_header"/>
    <w:qFormat/>
    <w:rsid w:val="003434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34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34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4E2"/>
    <w:rPr>
      <w:lang w:val="en-US"/>
    </w:rPr>
  </w:style>
  <w:style w:type="paragraph" w:styleId="Footer">
    <w:name w:val="footer"/>
    <w:basedOn w:val="Normal"/>
    <w:link w:val="FooterChar"/>
    <w:uiPriority w:val="99"/>
    <w:unhideWhenUsed/>
    <w:rsid w:val="0034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4E2"/>
    <w:rPr>
      <w:lang w:val="en-US"/>
    </w:rPr>
  </w:style>
  <w:style w:type="paragraph" w:styleId="ListParagraph">
    <w:name w:val="List Paragraph"/>
    <w:basedOn w:val="Normal"/>
    <w:uiPriority w:val="34"/>
    <w:qFormat/>
    <w:rsid w:val="003434E2"/>
    <w:pPr>
      <w:ind w:left="720"/>
      <w:contextualSpacing/>
    </w:pPr>
  </w:style>
  <w:style w:type="paragraph" w:customStyle="1" w:styleId="scbillfooter">
    <w:name w:val="sc_bill_footer"/>
    <w:qFormat/>
    <w:rsid w:val="003434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3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34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34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34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34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34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34E2"/>
    <w:pPr>
      <w:widowControl w:val="0"/>
      <w:suppressAutoHyphens/>
      <w:spacing w:after="0" w:line="360" w:lineRule="auto"/>
    </w:pPr>
    <w:rPr>
      <w:rFonts w:ascii="Times New Roman" w:hAnsi="Times New Roman"/>
      <w:lang w:val="en-US"/>
    </w:rPr>
  </w:style>
  <w:style w:type="paragraph" w:customStyle="1" w:styleId="sctableln">
    <w:name w:val="sc_table_ln"/>
    <w:qFormat/>
    <w:rsid w:val="003434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34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34E2"/>
    <w:rPr>
      <w:strike/>
      <w:dstrike w:val="0"/>
    </w:rPr>
  </w:style>
  <w:style w:type="character" w:customStyle="1" w:styleId="scinsert">
    <w:name w:val="sc_insert"/>
    <w:uiPriority w:val="1"/>
    <w:qFormat/>
    <w:rsid w:val="003434E2"/>
    <w:rPr>
      <w:caps w:val="0"/>
      <w:smallCaps w:val="0"/>
      <w:strike w:val="0"/>
      <w:dstrike w:val="0"/>
      <w:vanish w:val="0"/>
      <w:u w:val="single"/>
      <w:vertAlign w:val="baseline"/>
    </w:rPr>
  </w:style>
  <w:style w:type="character" w:customStyle="1" w:styleId="scinsertred">
    <w:name w:val="sc_insert_red"/>
    <w:uiPriority w:val="1"/>
    <w:qFormat/>
    <w:rsid w:val="003434E2"/>
    <w:rPr>
      <w:caps w:val="0"/>
      <w:smallCaps w:val="0"/>
      <w:strike w:val="0"/>
      <w:dstrike w:val="0"/>
      <w:vanish w:val="0"/>
      <w:color w:val="FF0000"/>
      <w:u w:val="single"/>
      <w:vertAlign w:val="baseline"/>
    </w:rPr>
  </w:style>
  <w:style w:type="character" w:customStyle="1" w:styleId="scinsertblue">
    <w:name w:val="sc_insert_blue"/>
    <w:uiPriority w:val="1"/>
    <w:qFormat/>
    <w:rsid w:val="003434E2"/>
    <w:rPr>
      <w:caps w:val="0"/>
      <w:smallCaps w:val="0"/>
      <w:strike w:val="0"/>
      <w:dstrike w:val="0"/>
      <w:vanish w:val="0"/>
      <w:color w:val="0070C0"/>
      <w:u w:val="single"/>
      <w:vertAlign w:val="baseline"/>
    </w:rPr>
  </w:style>
  <w:style w:type="character" w:customStyle="1" w:styleId="scstrikered">
    <w:name w:val="sc_strike_red"/>
    <w:uiPriority w:val="1"/>
    <w:qFormat/>
    <w:rsid w:val="003434E2"/>
    <w:rPr>
      <w:strike/>
      <w:dstrike w:val="0"/>
      <w:color w:val="FF0000"/>
    </w:rPr>
  </w:style>
  <w:style w:type="character" w:customStyle="1" w:styleId="scstrikeblue">
    <w:name w:val="sc_strike_blue"/>
    <w:uiPriority w:val="1"/>
    <w:qFormat/>
    <w:rsid w:val="003434E2"/>
    <w:rPr>
      <w:strike/>
      <w:dstrike w:val="0"/>
      <w:color w:val="0070C0"/>
    </w:rPr>
  </w:style>
  <w:style w:type="character" w:customStyle="1" w:styleId="scinsertbluenounderline">
    <w:name w:val="sc_insert_blue_no_underline"/>
    <w:uiPriority w:val="1"/>
    <w:qFormat/>
    <w:rsid w:val="003434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34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34E2"/>
    <w:rPr>
      <w:strike/>
      <w:dstrike w:val="0"/>
      <w:color w:val="0070C0"/>
      <w:lang w:val="en-US"/>
    </w:rPr>
  </w:style>
  <w:style w:type="character" w:customStyle="1" w:styleId="scstrikerednoncodified">
    <w:name w:val="sc_strike_red_non_codified"/>
    <w:uiPriority w:val="1"/>
    <w:qFormat/>
    <w:rsid w:val="003434E2"/>
    <w:rPr>
      <w:strike/>
      <w:dstrike w:val="0"/>
      <w:color w:val="FF0000"/>
    </w:rPr>
  </w:style>
  <w:style w:type="paragraph" w:customStyle="1" w:styleId="scbillsiglines">
    <w:name w:val="sc_bill_sig_lines"/>
    <w:qFormat/>
    <w:rsid w:val="003434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34E2"/>
    <w:rPr>
      <w:bdr w:val="none" w:sz="0" w:space="0" w:color="auto"/>
      <w:shd w:val="clear" w:color="auto" w:fill="FEC6C6"/>
    </w:rPr>
  </w:style>
  <w:style w:type="character" w:customStyle="1" w:styleId="screstoreblue">
    <w:name w:val="sc_restore_blue"/>
    <w:uiPriority w:val="1"/>
    <w:qFormat/>
    <w:rsid w:val="003434E2"/>
    <w:rPr>
      <w:color w:val="4472C4" w:themeColor="accent1"/>
      <w:bdr w:val="none" w:sz="0" w:space="0" w:color="auto"/>
      <w:shd w:val="clear" w:color="auto" w:fill="auto"/>
    </w:rPr>
  </w:style>
  <w:style w:type="character" w:customStyle="1" w:styleId="screstorered">
    <w:name w:val="sc_restore_red"/>
    <w:uiPriority w:val="1"/>
    <w:qFormat/>
    <w:rsid w:val="003434E2"/>
    <w:rPr>
      <w:color w:val="FF0000"/>
      <w:bdr w:val="none" w:sz="0" w:space="0" w:color="auto"/>
      <w:shd w:val="clear" w:color="auto" w:fill="auto"/>
    </w:rPr>
  </w:style>
  <w:style w:type="character" w:customStyle="1" w:styleId="scstrikenewblue">
    <w:name w:val="sc_strike_new_blue"/>
    <w:uiPriority w:val="1"/>
    <w:qFormat/>
    <w:rsid w:val="003434E2"/>
    <w:rPr>
      <w:strike w:val="0"/>
      <w:dstrike/>
      <w:color w:val="0070C0"/>
      <w:u w:val="none"/>
    </w:rPr>
  </w:style>
  <w:style w:type="character" w:customStyle="1" w:styleId="scstrikenewred">
    <w:name w:val="sc_strike_new_red"/>
    <w:uiPriority w:val="1"/>
    <w:qFormat/>
    <w:rsid w:val="003434E2"/>
    <w:rPr>
      <w:strike w:val="0"/>
      <w:dstrike/>
      <w:color w:val="FF0000"/>
      <w:u w:val="none"/>
    </w:rPr>
  </w:style>
  <w:style w:type="character" w:customStyle="1" w:styleId="scamendsenate">
    <w:name w:val="sc_amend_senate"/>
    <w:uiPriority w:val="1"/>
    <w:qFormat/>
    <w:rsid w:val="003434E2"/>
    <w:rPr>
      <w:bdr w:val="none" w:sz="0" w:space="0" w:color="auto"/>
      <w:shd w:val="clear" w:color="auto" w:fill="FFF2CC" w:themeFill="accent4" w:themeFillTint="33"/>
    </w:rPr>
  </w:style>
  <w:style w:type="character" w:customStyle="1" w:styleId="scamendhouse">
    <w:name w:val="sc_amend_house"/>
    <w:uiPriority w:val="1"/>
    <w:qFormat/>
    <w:rsid w:val="003434E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0&amp;session=126&amp;summary=B" TargetMode="External" Id="R22f6a360a2ef4e57" /><Relationship Type="http://schemas.openxmlformats.org/officeDocument/2006/relationships/hyperlink" Target="https://www.scstatehouse.gov/sess126_2025-2026/prever/3220_20241205.docx" TargetMode="External" Id="Rb62f7a1690fe42c1" /><Relationship Type="http://schemas.openxmlformats.org/officeDocument/2006/relationships/hyperlink" Target="h:\hj\20250114.docx" TargetMode="External" Id="R263f1fae738b4b43" /><Relationship Type="http://schemas.openxmlformats.org/officeDocument/2006/relationships/hyperlink" Target="h:\hj\20250114.docx" TargetMode="External" Id="R1af165979bf449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5459"/>
    <w:rsid w:val="000C5BC7"/>
    <w:rsid w:val="000F401F"/>
    <w:rsid w:val="00140B15"/>
    <w:rsid w:val="001B20DA"/>
    <w:rsid w:val="001C48FD"/>
    <w:rsid w:val="002A7C8A"/>
    <w:rsid w:val="002D4365"/>
    <w:rsid w:val="003E4FBC"/>
    <w:rsid w:val="003F4940"/>
    <w:rsid w:val="00466B63"/>
    <w:rsid w:val="004E2BB5"/>
    <w:rsid w:val="00572DE2"/>
    <w:rsid w:val="00580C56"/>
    <w:rsid w:val="006B363F"/>
    <w:rsid w:val="007070D2"/>
    <w:rsid w:val="00776F2C"/>
    <w:rsid w:val="008F7723"/>
    <w:rsid w:val="009031EF"/>
    <w:rsid w:val="00912A5F"/>
    <w:rsid w:val="00940EED"/>
    <w:rsid w:val="00985255"/>
    <w:rsid w:val="009C3651"/>
    <w:rsid w:val="00A26942"/>
    <w:rsid w:val="00A51DBA"/>
    <w:rsid w:val="00AC385C"/>
    <w:rsid w:val="00B12BFB"/>
    <w:rsid w:val="00B20DA6"/>
    <w:rsid w:val="00B457AF"/>
    <w:rsid w:val="00C818FB"/>
    <w:rsid w:val="00CC0451"/>
    <w:rsid w:val="00D6665C"/>
    <w:rsid w:val="00D900BD"/>
    <w:rsid w:val="00E76813"/>
    <w:rsid w:val="00F6179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0e0956f3-f39c-4d0e-8edc-c848349069e7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43cb7563-eb7d-440b-a176-5b87de10093a</T_BILL_REQUEST_REQUEST>
  <T_BILL_R_ORIGINALDRAFT>0129b5f0-2a28-431d-bd8b-328bfc258e8c</T_BILL_R_ORIGINALDRAFT>
  <T_BILL_SPONSOR_SPONSOR>e9ce2968-4ef0-4f30-89d0-a39f2a47d327</T_BILL_SPONSOR_SPONSOR>
  <T_BILL_T_BILLNAME>[3220]</T_BILL_T_BILLNAME>
  <T_BILL_T_BILLNUMBER>3220</T_BILL_T_BILLNUMBER>
  <T_BILL_T_BILLTITLE>TO AMEND THE SOUTH CAROLINA CODE OF LAWS by enacting THE “NONCITIZEN TERRORIST ACTIVITY PROHIBITION IN PUBLIC INSTITUTIONS OF HIGHER LEARNING ACT”; BY ADDING SECTION 59‑101‑230 SO AS TO 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T_BILL_T_BILLTITLE>
  <T_BILL_T_CHAMBER>house</T_BILL_T_CHAMBER>
  <T_BILL_T_FILENAME> </T_BILL_T_FILENAME>
  <T_BILL_T_LEGTYPE>bill_statewide</T_BILL_T_LEGTYPE>
  <T_BILL_T_RATNUMBERSTRING>HNone</T_BILL_T_RATNUMBERSTRING>
  <T_BILL_T_SECTIONS>[{"SectionUUID":"43a558e2-7903-437f-9e81-d56547f3e64a","SectionName":"Citing an Act","SectionNumber":1,"SectionType":"new","CodeSections":[],"TitleText":"so as to enact the “Noncitizen Terrorist Activity Prohibition in Public Institutions of Higher Learning Act”","DisableControls":false,"Deleted":false,"RepealItems":[],"SectionBookmarkName":"bs_num_1_9ead76f62"},{"SectionUUID":"9f259205-7651-4fd8-b1db-97a7565f9027","SectionName":"code_section","SectionNumber":2,"SectionType":"code_section","CodeSections":[{"CodeSectionBookmarkName":"ns_T59C101N230_f1c6508cd","IsConstitutionSection":false,"Identity":"59-101-230","IsNew":true,"SubSections":[{"Level":1,"Identity":"T59C101N230SA","SubSectionBookmarkName":"ss_T59C101N230SA_lv1_762ba18ef","IsNewSubSection":false,"SubSectionReplacement":""},{"Level":2,"Identity":"T59C101N230S1","SubSectionBookmarkName":"ss_T59C101N230S1_lv2_08308c9a0","IsNewSubSection":false,"SubSectionReplacement":""},{"Level":2,"Identity":"T59C101N230S2","SubSectionBookmarkName":"ss_T59C101N230S2_lv2_56fd60001","IsNewSubSection":false,"SubSectionReplacement":""},{"Level":2,"Identity":"T59C101N230S3","SubSectionBookmarkName":"ss_T59C101N230S3_lv2_637841f21","IsNewSubSection":false,"SubSectionReplacement":""},{"Level":2,"Identity":"T59C101N230S4","SubSectionBookmarkName":"ss_T59C101N230S4_lv2_ca379810e","IsNewSubSection":false,"SubSectionReplacement":""},{"Level":2,"Identity":"T59C101N230S5","SubSectionBookmarkName":"ss_T59C101N230S5_lv2_ed83c57a1","IsNewSubSection":false,"SubSectionReplacement":""},{"Level":1,"Identity":"T59C101N230SB","SubSectionBookmarkName":"ss_T59C101N230SB_lv1_994f9660b","IsNewSubSection":false,"SubSectionReplacement":""},{"Level":1,"Identity":"T59C101N230SC","SubSectionBookmarkName":"ss_T59C101N230SC_lv1_ab0b52758","IsNewSubSection":false,"SubSectionReplacement":""},{"Level":2,"Identity":"T59C101N230S1","SubSectionBookmarkName":"ss_T59C101N230S1_lv2_5c8850c01","IsNewSubSection":false,"SubSectionReplacement":""},{"Level":2,"Identity":"T59C101N230S2","SubSectionBookmarkName":"ss_T59C101N230S2_lv2_23b14b8c4","IsNewSubSection":false,"SubSectionReplacement":""},{"Level":1,"Identity":"T59C101N230SD","SubSectionBookmarkName":"ss_T59C101N230SD_lv1_1b705c3bd","IsNewSubSection":false,"SubSectionReplacement":""},{"Level":2,"Identity":"T59C101N230S1","SubSectionBookmarkName":"ss_T59C101N230S1_lv2_edf383160","IsNewSubSection":false,"SubSectionReplacement":""},{"Level":2,"Identity":"T59C101N230S2","SubSectionBookmarkName":"ss_T59C101N230S2_lv2_e08459a26","IsNewSubSection":false,"SubSectionReplacement":""},{"Level":2,"Identity":"T59C101N230S3","SubSectionBookmarkName":"ss_T59C101N230S3_lv2_3e7bcfdea","IsNewSubSection":false,"SubSectionReplacement":""}],"TitleRelatedTo":"","TitleSoAsTo":"provide each public institution of higher learning in this state shall implement a policy that prohibits students, faculty, and staff who hold nonimmigrant visas from publicly espousing terrorist activity or supporting terrorist organizations unless the policy or practice of the united states supports such activity or organization, to provide penalties and procedures for violations, to provide enforcement mechanisms concerning individuals and institutions, among other things","Deleted":false}],"TitleText":"","DisableControls":false,"Deleted":false,"RepealItems":[],"SectionBookmarkName":"bs_num_2_1029f0456"},{"SectionUUID":"53cda01a-7c4b-4291-9b62-d6fabd06408f","SectionName":"Severability","SectionNumber":3,"SectionType":"new","CodeSections":[],"TitleText":"","DisableControls":false,"Deleted":false,"RepealItems":[],"SectionBookmarkName":"bs_num_3_9395c7b9b"},{"SectionUUID":"8f03ca95-8faa-4d43-a9c2-8afc498075bd","SectionName":"standard_eff_date_section","SectionNumber":4,"SectionType":"drafting_clause","CodeSections":[],"TitleText":"","DisableControls":false,"Deleted":false,"RepealItems":[],"SectionBookmarkName":"bs_num_4_lastsection"}]</T_BILL_T_SECTIONS>
  <T_BILL_T_SUBJECT>Noncitizen Terrorist Activity Prohibition in Public Institutions of Higher Learning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4043</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2024-10-31T18:47:00Z</cp:lastPrinted>
  <dcterms:created xsi:type="dcterms:W3CDTF">2024-11-26T20:11:00Z</dcterms:created>
  <dcterms:modified xsi:type="dcterms:W3CDTF">2024-11-26T20:11:00Z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