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Kilmartin and White</w:t>
      </w:r>
    </w:p>
    <w:p>
      <w:pPr>
        <w:widowControl w:val="false"/>
        <w:spacing w:after="0"/>
        <w:jc w:val="left"/>
      </w:pPr>
      <w:r>
        <w:rPr>
          <w:rFonts w:ascii="Times New Roman"/>
          <w:sz w:val="22"/>
        </w:rPr>
        <w:t xml:space="preserve">Document Path: LC-0077AHB25.docx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Contribution Among Tortfeasors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b06dea4a1554d8a">
        <w:r w:rsidRPr="00770434">
          <w:rPr>
            <w:rStyle w:val="Hyperlink"/>
          </w:rPr>
          <w:t>House Journal</w:t>
        </w:r>
        <w:r w:rsidRPr="00770434">
          <w:rPr>
            <w:rStyle w:val="Hyperlink"/>
          </w:rPr>
          <w:noBreakHyphen/>
          <w:t>page 237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6ff77533d384189">
        <w:r w:rsidRPr="00770434">
          <w:rPr>
            <w:rStyle w:val="Hyperlink"/>
          </w:rPr>
          <w:t>House Journal</w:t>
        </w:r>
        <w:r w:rsidRPr="00770434">
          <w:rPr>
            <w:rStyle w:val="Hyperlink"/>
          </w:rPr>
          <w:noBreakHyphen/>
          <w:t>page 237</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Kilmartin, White
 </w:t>
      </w:r>
    </w:p>
    <w:p>
      <w:pPr>
        <w:widowControl w:val="false"/>
        <w:spacing w:after="0"/>
        <w:jc w:val="left"/>
      </w:pPr>
    </w:p>
    <w:p>
      <w:pPr>
        <w:widowControl w:val="false"/>
        <w:spacing w:after="0"/>
        <w:jc w:val="left"/>
      </w:pPr>
      <w:r>
        <w:rPr>
          <w:rFonts w:ascii="Times New Roman"/>
          <w:sz w:val="22"/>
        </w:rPr>
        <w:t xml:space="preserve">View the latest </w:t>
      </w:r>
      <w:hyperlink r:id="Rfe84981c44d34b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4850991ec2481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6221" w14:paraId="40FEFADA" w14:textId="17990361">
          <w:pPr>
            <w:pStyle w:val="scbilltitle"/>
          </w:pPr>
          <w:r w:rsidRPr="00166221">
            <w:t>TO AMEND THE SOUTH CAROLINA CODE OF LAWS BY AMENDING SECTIONS 15‑38‑15, 15‑38‑20, 15‑38‑40, AND 15‑38‑50, ALL RELATING TO THE SOUTH CAROLINA CONTRIBUTION AMONG TORTFEASORS ACT, SO AS TO INCLUDE PERSONS OR ENTITIES FOR THE PURPOSES OF ALLOCATION OF FAULT, AND TO MAKE CONFORMING CHANGES.</w:t>
          </w:r>
        </w:p>
      </w:sdtContent>
    </w:sdt>
    <w:bookmarkStart w:name="at_7fab3c35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2991f1d9" w:id="1"/>
      <w:r w:rsidRPr="0094541D">
        <w:t>B</w:t>
      </w:r>
      <w:bookmarkEnd w:id="1"/>
      <w:r w:rsidRPr="0094541D">
        <w:t>e it enacted by the General Assembly of the State of South Carolina:</w:t>
      </w:r>
    </w:p>
    <w:p w:rsidR="003B1953" w:rsidP="003B1953" w:rsidRDefault="003B1953" w14:paraId="4C83B435" w14:textId="77777777">
      <w:pPr>
        <w:pStyle w:val="scemptyline"/>
      </w:pPr>
    </w:p>
    <w:p w:rsidR="003B1953" w:rsidP="003B1953" w:rsidRDefault="003B1953" w14:paraId="7B9D252F" w14:textId="77777777">
      <w:pPr>
        <w:pStyle w:val="scdirectionallanguage"/>
      </w:pPr>
      <w:bookmarkStart w:name="bs_num_1_85c07a8f5" w:id="2"/>
      <w:r>
        <w:t>S</w:t>
      </w:r>
      <w:bookmarkEnd w:id="2"/>
      <w:r>
        <w:t>ECTION 1.</w:t>
      </w:r>
      <w:r>
        <w:tab/>
      </w:r>
      <w:bookmarkStart w:name="dl_30a668a3f" w:id="3"/>
      <w:r>
        <w:t>S</w:t>
      </w:r>
      <w:bookmarkEnd w:id="3"/>
      <w:r>
        <w:t>ection 15‑38‑15 of the S.C. Code is amended to read:</w:t>
      </w:r>
    </w:p>
    <w:p w:rsidR="003B1953" w:rsidP="003B1953" w:rsidRDefault="003B1953" w14:paraId="1994B774" w14:textId="77777777">
      <w:pPr>
        <w:pStyle w:val="sccodifiedsection"/>
      </w:pPr>
    </w:p>
    <w:p w:rsidR="0087174E" w:rsidP="003B1953" w:rsidRDefault="003B1953" w14:paraId="3AAAE25D" w14:textId="77777777">
      <w:pPr>
        <w:pStyle w:val="sccodifiedsection"/>
      </w:pPr>
      <w:r>
        <w:tab/>
      </w:r>
      <w:bookmarkStart w:name="cs_T15C38N15_67cd71066" w:id="4"/>
      <w:r>
        <w:t>S</w:t>
      </w:r>
      <w:bookmarkEnd w:id="4"/>
      <w:r>
        <w:t>ection 15‑38‑15.</w:t>
      </w:r>
      <w:r>
        <w:tab/>
      </w:r>
      <w:bookmarkStart w:name="ss_T15C38N15SA_lv1_ef2c4e36b" w:id="5"/>
      <w:r>
        <w:t>(</w:t>
      </w:r>
      <w:bookmarkEnd w:id="5"/>
      <w:r>
        <w:t xml:space="preserve">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w:t>
      </w:r>
      <w:proofErr w:type="spellStart"/>
      <w:r>
        <w:rPr>
          <w:rStyle w:val="scstrike"/>
        </w:rPr>
        <w:t>defendant</w:t>
      </w:r>
      <w:r w:rsidR="0087174E">
        <w:rPr>
          <w:rStyle w:val="scinsert"/>
        </w:rPr>
        <w:t>person</w:t>
      </w:r>
      <w:proofErr w:type="spellEnd"/>
      <w:r w:rsidR="0087174E">
        <w:rPr>
          <w:rStyle w:val="scinsert"/>
        </w:rPr>
        <w:t xml:space="preserve"> or entity</w:t>
      </w:r>
      <w:r>
        <w:t xml:space="preserve">, joint and several liability does not apply to any defendant whose conduct is determined to be less than fifty percent of the total fault for the indivisible damages as compared with the total of: </w:t>
      </w:r>
    </w:p>
    <w:p w:rsidR="0087174E" w:rsidP="0087174E" w:rsidRDefault="0087174E" w14:paraId="0B2616DC" w14:textId="77777777">
      <w:pPr>
        <w:pStyle w:val="sccodifiedsection"/>
      </w:pPr>
      <w:r>
        <w:rPr>
          <w:rStyle w:val="scinsert"/>
        </w:rPr>
        <w:tab/>
      </w:r>
      <w:r>
        <w:rPr>
          <w:rStyle w:val="scinsert"/>
        </w:rPr>
        <w:tab/>
      </w:r>
      <w:r w:rsidR="003B1953">
        <w:rPr>
          <w:rStyle w:val="scstrike"/>
        </w:rPr>
        <w:t>(</w:t>
      </w:r>
      <w:proofErr w:type="spellStart"/>
      <w:r w:rsidR="003B1953">
        <w:rPr>
          <w:rStyle w:val="scstrike"/>
        </w:rPr>
        <w:t>i</w:t>
      </w:r>
      <w:proofErr w:type="spellEnd"/>
      <w:r w:rsidR="003B1953">
        <w:rPr>
          <w:rStyle w:val="scstrike"/>
        </w:rPr>
        <w:t>)</w:t>
      </w:r>
      <w:bookmarkStart w:name="ss_T15C38N15S1_lv2_82fca04be" w:id="6"/>
      <w:r>
        <w:rPr>
          <w:rStyle w:val="scinsert"/>
        </w:rPr>
        <w:t>(</w:t>
      </w:r>
      <w:bookmarkEnd w:id="6"/>
      <w:r>
        <w:rPr>
          <w:rStyle w:val="scinsert"/>
        </w:rPr>
        <w:t>1)</w:t>
      </w:r>
      <w:r w:rsidR="003B1953">
        <w:t xml:space="preserve"> the fault of all the </w:t>
      </w:r>
      <w:proofErr w:type="spellStart"/>
      <w:r w:rsidR="003B1953">
        <w:rPr>
          <w:rStyle w:val="scstrike"/>
        </w:rPr>
        <w:t>defendants</w:t>
      </w:r>
      <w:r>
        <w:rPr>
          <w:rStyle w:val="scinsert"/>
        </w:rPr>
        <w:t>persons</w:t>
      </w:r>
      <w:proofErr w:type="spellEnd"/>
      <w:r>
        <w:rPr>
          <w:rStyle w:val="scinsert"/>
        </w:rPr>
        <w:t xml:space="preserve"> or entities, including defendants and nonparties regardless of whether the person or entity was, or could have been named, as a party to the suit</w:t>
      </w:r>
      <w:r w:rsidR="003B1953">
        <w:t>; and</w:t>
      </w:r>
    </w:p>
    <w:p w:rsidR="003B1953" w:rsidP="0087174E" w:rsidRDefault="0087174E" w14:paraId="63231406" w14:textId="6B266FE6">
      <w:pPr>
        <w:pStyle w:val="sccodifiedsection"/>
      </w:pPr>
      <w:r>
        <w:rPr>
          <w:rStyle w:val="scinsert"/>
        </w:rPr>
        <w:tab/>
      </w:r>
      <w:r>
        <w:rPr>
          <w:rStyle w:val="scinsert"/>
        </w:rPr>
        <w:tab/>
      </w:r>
      <w:r w:rsidR="003B1953">
        <w:rPr>
          <w:rStyle w:val="scstrike"/>
        </w:rPr>
        <w:t>(ii)</w:t>
      </w:r>
      <w:bookmarkStart w:name="ss_T15C38N15S2_lv2_ea7f22031" w:id="7"/>
      <w:r>
        <w:rPr>
          <w:rStyle w:val="scinsert"/>
        </w:rPr>
        <w:t>(</w:t>
      </w:r>
      <w:bookmarkEnd w:id="7"/>
      <w:r>
        <w:rPr>
          <w:rStyle w:val="scinsert"/>
        </w:rPr>
        <w:t>2)</w:t>
      </w:r>
      <w:r w:rsidR="003B1953">
        <w:t xml:space="preserve"> the fault (comparative negligence), if any, of plaintiff. A defendant whose conduct is determined to be less than fifty percent of the total fault shall only be liable for that percentage of the indivisible damages determined by the jury or trier of fact.</w:t>
      </w:r>
    </w:p>
    <w:p w:rsidR="003B1953" w:rsidP="003B1953" w:rsidRDefault="003B1953" w14:paraId="228A5D9A" w14:textId="4D069610">
      <w:pPr>
        <w:pStyle w:val="sccodifiedsection"/>
      </w:pPr>
      <w:r>
        <w:tab/>
      </w:r>
      <w:bookmarkStart w:name="ss_T15C38N15SB_lv1_acc9bf28d" w:id="8"/>
      <w:r>
        <w:t>(</w:t>
      </w:r>
      <w:bookmarkEnd w:id="8"/>
      <w:r>
        <w:t xml:space="preserve">B) Apportionment of percentages of fault among </w:t>
      </w:r>
      <w:proofErr w:type="spellStart"/>
      <w:r>
        <w:rPr>
          <w:rStyle w:val="scstrike"/>
        </w:rPr>
        <w:t>defendants</w:t>
      </w:r>
      <w:r w:rsidR="0087174E">
        <w:rPr>
          <w:rStyle w:val="scinsert"/>
        </w:rPr>
        <w:t>all</w:t>
      </w:r>
      <w:proofErr w:type="spellEnd"/>
      <w:r w:rsidR="0087174E">
        <w:rPr>
          <w:rStyle w:val="scinsert"/>
        </w:rPr>
        <w:t xml:space="preserve"> persons or entities, including plaintiffs, defendants, and nonparties, who proximately caused the damages</w:t>
      </w:r>
      <w:r>
        <w:t xml:space="preserve"> is to be determined as specified in subsection (C).</w:t>
      </w:r>
    </w:p>
    <w:p w:rsidR="003B1953" w:rsidP="003B1953" w:rsidRDefault="003B1953" w14:paraId="71735410" w14:textId="77777777">
      <w:pPr>
        <w:pStyle w:val="sccodifiedsection"/>
      </w:pPr>
      <w:r>
        <w:tab/>
      </w:r>
      <w:bookmarkStart w:name="ss_T15C38N15SC_lv1_5ca9ab5af" w:id="9"/>
      <w:r>
        <w:t>(</w:t>
      </w:r>
      <w:bookmarkEnd w:id="9"/>
      <w:r>
        <w:t>C) The jury, or the court if there is no jury, shall:</w:t>
      </w:r>
    </w:p>
    <w:p w:rsidR="003B1953" w:rsidP="003B1953" w:rsidRDefault="003B1953" w14:paraId="1D8B4AEE" w14:textId="77777777">
      <w:pPr>
        <w:pStyle w:val="sccodifiedsection"/>
      </w:pPr>
      <w:r>
        <w:tab/>
      </w:r>
      <w:r>
        <w:tab/>
      </w:r>
      <w:bookmarkStart w:name="ss_T15C38N15S1_lv2_d1a52c0d9" w:id="10"/>
      <w:r>
        <w:t>(</w:t>
      </w:r>
      <w:bookmarkEnd w:id="10"/>
      <w:r>
        <w:t xml:space="preserve">1) specify the amount of </w:t>
      </w:r>
      <w:proofErr w:type="gramStart"/>
      <w:r>
        <w:t>damages;</w:t>
      </w:r>
      <w:proofErr w:type="gramEnd"/>
    </w:p>
    <w:p w:rsidR="003B1953" w:rsidP="003B1953" w:rsidRDefault="003B1953" w14:paraId="688120FE" w14:textId="79912354">
      <w:pPr>
        <w:pStyle w:val="sccodifiedsection"/>
      </w:pPr>
      <w:r>
        <w:tab/>
      </w:r>
      <w:r>
        <w:tab/>
      </w:r>
      <w:bookmarkStart w:name="ss_T15C38N15S2_lv2_55b2fe059" w:id="11"/>
      <w:r>
        <w:t>(</w:t>
      </w:r>
      <w:bookmarkEnd w:id="11"/>
      <w:r>
        <w:t xml:space="preserve">2) determine the percentage of fault, if any, of plaintiff and the </w:t>
      </w:r>
      <w:proofErr w:type="gramStart"/>
      <w:r>
        <w:t>amount</w:t>
      </w:r>
      <w:proofErr w:type="gramEnd"/>
      <w:r>
        <w:t xml:space="preserve"> of recoverable damages under applicable rules concerning “comparative negligence”; and</w:t>
      </w:r>
    </w:p>
    <w:p w:rsidR="003B1953" w:rsidP="003B1953" w:rsidRDefault="003B1953" w14:paraId="601339A2" w14:textId="77319A7D">
      <w:pPr>
        <w:pStyle w:val="sccodifiedsection"/>
      </w:pPr>
      <w:r>
        <w:tab/>
      </w:r>
      <w:r>
        <w:tab/>
      </w:r>
      <w:bookmarkStart w:name="ss_T15C38N15S3_lv2_b37db80ce" w:id="12"/>
      <w:r>
        <w:t>(</w:t>
      </w:r>
      <w:bookmarkEnd w:id="12"/>
      <w:r>
        <w:t xml:space="preserve">3) upon a motion by at least </w:t>
      </w:r>
      <w:proofErr w:type="spellStart"/>
      <w:r>
        <w:rPr>
          <w:rStyle w:val="scstrike"/>
        </w:rPr>
        <w:t>one</w:t>
      </w:r>
      <w:r w:rsidR="0087174E">
        <w:rPr>
          <w:rStyle w:val="scinsert"/>
        </w:rPr>
        <w:t>a</w:t>
      </w:r>
      <w:proofErr w:type="spellEnd"/>
      <w:r>
        <w:t xml:space="preserve"> defendant, where there is a verdict under items (1) and (2) </w:t>
      </w:r>
      <w:r>
        <w:rPr>
          <w:rStyle w:val="scstrike"/>
        </w:rPr>
        <w:t xml:space="preserve">above </w:t>
      </w:r>
      <w:r>
        <w:t xml:space="preserve">for damages against </w:t>
      </w:r>
      <w:proofErr w:type="spellStart"/>
      <w:r>
        <w:rPr>
          <w:rStyle w:val="scstrike"/>
        </w:rPr>
        <w:t>two</w:t>
      </w:r>
      <w:r w:rsidR="0087174E">
        <w:rPr>
          <w:rStyle w:val="scinsert"/>
        </w:rPr>
        <w:t>one</w:t>
      </w:r>
      <w:proofErr w:type="spellEnd"/>
      <w:r>
        <w:t xml:space="preserve"> or more defendants for the same indivisible injury, death, or damage to </w:t>
      </w:r>
      <w:r>
        <w:lastRenderedPageBreak/>
        <w:t xml:space="preserve">property, specify in a separate verdict under the procedures described at subitem (b) below the percentage of liability </w:t>
      </w:r>
      <w:proofErr w:type="spellStart"/>
      <w:r>
        <w:rPr>
          <w:rStyle w:val="scstrike"/>
        </w:rPr>
        <w:t>that</w:t>
      </w:r>
      <w:r w:rsidR="0087174E">
        <w:rPr>
          <w:rStyle w:val="scinsert"/>
        </w:rPr>
        <w:t>allocated</w:t>
      </w:r>
      <w:proofErr w:type="spellEnd"/>
      <w:r w:rsidR="0087174E">
        <w:rPr>
          <w:rStyle w:val="scinsert"/>
        </w:rPr>
        <w:t xml:space="preserve"> to each person or entity whose fault</w:t>
      </w:r>
      <w:r>
        <w:t xml:space="preserve"> proximately caused the indivisible injury, death, damage to property, or economic loss from tortious conduct, as determined by item (1)</w:t>
      </w:r>
      <w:r>
        <w:rPr>
          <w:rStyle w:val="scstrike"/>
        </w:rPr>
        <w:t xml:space="preserve"> above</w:t>
      </w:r>
      <w:r>
        <w:t xml:space="preserve">, that is attributable to each </w:t>
      </w:r>
      <w:proofErr w:type="spellStart"/>
      <w:r>
        <w:rPr>
          <w:rStyle w:val="scstrike"/>
        </w:rPr>
        <w:t>defendant</w:t>
      </w:r>
      <w:r w:rsidR="0087174E">
        <w:rPr>
          <w:rStyle w:val="scinsert"/>
        </w:rPr>
        <w:t>such</w:t>
      </w:r>
      <w:proofErr w:type="spellEnd"/>
      <w:r w:rsidR="0087174E">
        <w:rPr>
          <w:rStyle w:val="scinsert"/>
        </w:rPr>
        <w:t xml:space="preserve"> person or entity, including defendants and nonparties,</w:t>
      </w:r>
      <w:r>
        <w:t xml:space="preserve"> whose actions are a proximate cause of the indivisible injury, death, or damage to property. In determining the percentage attributable to each </w:t>
      </w:r>
      <w:proofErr w:type="spellStart"/>
      <w:r>
        <w:rPr>
          <w:rStyle w:val="scstrike"/>
        </w:rPr>
        <w:t>defendant</w:t>
      </w:r>
      <w:r w:rsidR="0087174E">
        <w:rPr>
          <w:rStyle w:val="scinsert"/>
        </w:rPr>
        <w:t>person</w:t>
      </w:r>
      <w:proofErr w:type="spellEnd"/>
      <w:r w:rsidR="0087174E">
        <w:rPr>
          <w:rStyle w:val="scinsert"/>
        </w:rPr>
        <w:t xml:space="preserve"> or entity</w:t>
      </w:r>
      <w:r>
        <w:t>, any fault of the plaintiff, as determined by item (2)</w:t>
      </w:r>
      <w:r>
        <w:rPr>
          <w:rStyle w:val="scstrike"/>
        </w:rPr>
        <w:t xml:space="preserve"> above</w:t>
      </w:r>
      <w:r>
        <w:t>, will be included so that the total of the percentages of fault attributed to the plaintiff</w:t>
      </w:r>
      <w:r>
        <w:rPr>
          <w:rStyle w:val="scstrike"/>
        </w:rPr>
        <w:t xml:space="preserve"> and to</w:t>
      </w:r>
      <w:r w:rsidR="0087174E">
        <w:rPr>
          <w:rStyle w:val="scinsert"/>
        </w:rPr>
        <w:t>,</w:t>
      </w:r>
      <w:r>
        <w:t xml:space="preserve"> the defendants</w:t>
      </w:r>
      <w:r w:rsidR="0087174E">
        <w:rPr>
          <w:rStyle w:val="scinsert"/>
        </w:rPr>
        <w:t>, and any nonparty persons or entities</w:t>
      </w:r>
      <w:r>
        <w:t xml:space="preserve"> must be one hundred percent. </w:t>
      </w:r>
      <w:r>
        <w:rPr>
          <w:rStyle w:val="scstrike"/>
        </w:rPr>
        <w:t>In calculating the percentage of fault attributable to each defendant, inclusion of any percentage of fault of the plaintiff (as determined in item (2) above) shall not reduce the amount of plaintiff's recoverable damages (as determined under item (2) above).</w:t>
      </w:r>
    </w:p>
    <w:p w:rsidR="003B1953" w:rsidP="003B1953" w:rsidRDefault="003B1953" w14:paraId="7AFD88C9" w14:textId="225E3A42">
      <w:pPr>
        <w:pStyle w:val="sccodifiedsection"/>
      </w:pPr>
      <w:r>
        <w:tab/>
      </w:r>
      <w:r>
        <w:tab/>
      </w:r>
      <w:r>
        <w:tab/>
      </w:r>
      <w:bookmarkStart w:name="ss_T15C38N15Sa_lv3_5c41e1730" w:id="13"/>
      <w:r>
        <w:t>(</w:t>
      </w:r>
      <w:bookmarkEnd w:id="13"/>
      <w:r>
        <w:t xml:space="preserve">a) For this purpose, the court may determine that two or more persons </w:t>
      </w:r>
      <w:r w:rsidR="0087174E">
        <w:rPr>
          <w:rStyle w:val="scinsert"/>
        </w:rPr>
        <w:t xml:space="preserve">or entities </w:t>
      </w:r>
      <w:r>
        <w:t>are to be treated as a single party. Such treatment must be used where two or more defendants</w:t>
      </w:r>
      <w:r w:rsidR="0087174E">
        <w:rPr>
          <w:rStyle w:val="scinsert"/>
        </w:rPr>
        <w:t>, person, or entities</w:t>
      </w:r>
      <w:r>
        <w:t xml:space="preserve"> acted in concert or where, by reason of agency, employment, or other legal relationship, a defendant</w:t>
      </w:r>
      <w:r w:rsidR="0087174E">
        <w:rPr>
          <w:rStyle w:val="scinsert"/>
        </w:rPr>
        <w:t>, person, or entity</w:t>
      </w:r>
      <w:r>
        <w:t xml:space="preserve"> is vicariously responsible for the conduct of another defendant</w:t>
      </w:r>
      <w:r w:rsidR="0087174E">
        <w:rPr>
          <w:rStyle w:val="scinsert"/>
        </w:rPr>
        <w:t>, person, or entity</w:t>
      </w:r>
      <w:r>
        <w:t>.</w:t>
      </w:r>
    </w:p>
    <w:p w:rsidR="003B1953" w:rsidP="003B1953" w:rsidRDefault="003B1953" w14:paraId="278C8B59" w14:textId="16288815">
      <w:pPr>
        <w:pStyle w:val="sccodifiedsection"/>
      </w:pPr>
      <w:r>
        <w:tab/>
      </w:r>
      <w:r>
        <w:tab/>
      </w:r>
      <w:r>
        <w:tab/>
      </w:r>
      <w:bookmarkStart w:name="ss_T15C38N15Sb_lv3_cc15d2365" w:id="14"/>
      <w:r>
        <w:t>(</w:t>
      </w:r>
      <w:bookmarkEnd w:id="14"/>
      <w:r>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w:t>
      </w:r>
      <w:r w:rsidR="0087174E">
        <w:rPr>
          <w:rStyle w:val="scinsert"/>
        </w:rPr>
        <w:t>, person, or entity</w:t>
      </w:r>
      <w:r>
        <w:t>. However, no additional evidence shall be allowed.</w:t>
      </w:r>
    </w:p>
    <w:p w:rsidR="00511A3A" w:rsidP="003B1953" w:rsidRDefault="004E6C8A" w14:paraId="6976DF3A" w14:textId="01AB268D">
      <w:pPr>
        <w:pStyle w:val="sccodifiedsection"/>
      </w:pPr>
      <w:r>
        <w:rPr>
          <w:rStyle w:val="scinsert"/>
        </w:rPr>
        <w:tab/>
      </w:r>
      <w:r>
        <w:rPr>
          <w:rStyle w:val="scinsert"/>
        </w:rPr>
        <w:tab/>
      </w:r>
      <w:r w:rsidR="00511A3A">
        <w:rPr>
          <w:rStyle w:val="scinsert"/>
        </w:rPr>
        <w:tab/>
      </w:r>
      <w:bookmarkStart w:name="ss_T15C38N15Sc_lv3_b9d207319" w:id="15"/>
      <w:r w:rsidR="00511A3A">
        <w:rPr>
          <w:rStyle w:val="scinsert"/>
        </w:rPr>
        <w:t>(</w:t>
      </w:r>
      <w:bookmarkEnd w:id="15"/>
      <w:r>
        <w:rPr>
          <w:rStyle w:val="scinsert"/>
        </w:rPr>
        <w:t>c</w:t>
      </w:r>
      <w:r w:rsidR="00511A3A">
        <w:rPr>
          <w:rStyle w:val="scinsert"/>
        </w:rPr>
        <w:t>)</w:t>
      </w:r>
      <w:bookmarkStart w:name="ss_T15C38N15Si_lv4_0f408d991" w:id="16"/>
      <w:r w:rsidR="00511A3A">
        <w:rPr>
          <w:rStyle w:val="scinsert"/>
        </w:rPr>
        <w:t>(</w:t>
      </w:r>
      <w:bookmarkEnd w:id="16"/>
      <w:proofErr w:type="spellStart"/>
      <w:r>
        <w:rPr>
          <w:rStyle w:val="scinsert"/>
        </w:rPr>
        <w:t>i</w:t>
      </w:r>
      <w:proofErr w:type="spellEnd"/>
      <w:r w:rsidR="00511A3A">
        <w:rPr>
          <w:rStyle w:val="scinsert"/>
        </w:rPr>
        <w:t xml:space="preserve">) Allocation of </w:t>
      </w:r>
      <w:r w:rsidRPr="00511A3A" w:rsidR="00511A3A">
        <w:rPr>
          <w:rStyle w:val="scinsert"/>
        </w:rPr>
        <w:t>fault to a nonparty shall be considered under item (3) if the plaintiff entered into a settlement agreement with the nonparty or if a defending party gives written notice no later than one hundred twenty days prior to the date of the trial that a nonparty was wholly or partially at fault for the plaintiff’s injury.</w:t>
      </w:r>
    </w:p>
    <w:p w:rsidR="00511A3A" w:rsidP="003B1953" w:rsidRDefault="00511A3A" w14:paraId="3A5960C8" w14:textId="7B072CEF">
      <w:pPr>
        <w:pStyle w:val="sccodifiedsection"/>
      </w:pPr>
      <w:r>
        <w:rPr>
          <w:rStyle w:val="scinsert"/>
        </w:rPr>
        <w:tab/>
      </w:r>
      <w:r>
        <w:rPr>
          <w:rStyle w:val="scinsert"/>
        </w:rPr>
        <w:tab/>
      </w:r>
      <w:r w:rsidR="004E6C8A">
        <w:rPr>
          <w:rStyle w:val="scinsert"/>
        </w:rPr>
        <w:tab/>
      </w:r>
      <w:r w:rsidR="004E6C8A">
        <w:rPr>
          <w:rStyle w:val="scinsert"/>
        </w:rPr>
        <w:tab/>
      </w:r>
      <w:bookmarkStart w:name="ss_T15C38N15Sii_lv4_75231ecd5" w:id="17"/>
      <w:r>
        <w:rPr>
          <w:rStyle w:val="scinsert"/>
        </w:rPr>
        <w:t>(</w:t>
      </w:r>
      <w:bookmarkEnd w:id="17"/>
      <w:r w:rsidR="004E6C8A">
        <w:rPr>
          <w:rStyle w:val="scinsert"/>
        </w:rPr>
        <w:t>ii</w:t>
      </w:r>
      <w:r>
        <w:rPr>
          <w:rStyle w:val="scinsert"/>
        </w:rPr>
        <w:t xml:space="preserve">) </w:t>
      </w:r>
      <w:r w:rsidRPr="00511A3A">
        <w:rPr>
          <w:rStyle w:val="scinsert"/>
        </w:rPr>
        <w:t>The written notice shall be made by filing the action, setting forth the nonparty or parties’ names and last known address or addresses, or the best identification of a nonparty that is possible under the circumstances, together with a brief statement of the filer’s good faith belief that the nonparty or parties were at fault.</w:t>
      </w:r>
    </w:p>
    <w:p w:rsidR="00511A3A" w:rsidP="003B1953" w:rsidRDefault="00511A3A" w14:paraId="6A0B963A" w14:textId="7696E29C">
      <w:pPr>
        <w:pStyle w:val="sccodifiedsection"/>
      </w:pPr>
      <w:r>
        <w:rPr>
          <w:rStyle w:val="scinsert"/>
        </w:rPr>
        <w:tab/>
      </w:r>
      <w:r w:rsidR="004E6C8A">
        <w:rPr>
          <w:rStyle w:val="scinsert"/>
        </w:rPr>
        <w:tab/>
      </w:r>
      <w:r w:rsidR="004E6C8A">
        <w:rPr>
          <w:rStyle w:val="scinsert"/>
        </w:rPr>
        <w:tab/>
      </w:r>
      <w:r>
        <w:rPr>
          <w:rStyle w:val="scinsert"/>
        </w:rPr>
        <w:tab/>
      </w:r>
      <w:bookmarkStart w:name="ss_T15C38N15Siii_lv4_4cbc2f548" w:id="18"/>
      <w:r>
        <w:rPr>
          <w:rStyle w:val="scinsert"/>
        </w:rPr>
        <w:t>(</w:t>
      </w:r>
      <w:bookmarkEnd w:id="18"/>
      <w:r w:rsidR="004E6C8A">
        <w:rPr>
          <w:rStyle w:val="scinsert"/>
        </w:rPr>
        <w:t>iii</w:t>
      </w:r>
      <w:r>
        <w:rPr>
          <w:rStyle w:val="scinsert"/>
        </w:rPr>
        <w:t xml:space="preserve">) </w:t>
      </w:r>
      <w:r w:rsidRPr="00511A3A">
        <w:rPr>
          <w:rStyle w:val="scinsert"/>
        </w:rPr>
        <w:t>Allocations of the percentage of fault of nonparties shall only be used in the determination of the percentages of fault of named parties.</w:t>
      </w:r>
    </w:p>
    <w:p w:rsidR="00511A3A" w:rsidP="003B1953" w:rsidRDefault="00511A3A" w14:paraId="166152D7" w14:textId="64C46489">
      <w:pPr>
        <w:pStyle w:val="sccodifiedsection"/>
      </w:pPr>
      <w:r>
        <w:rPr>
          <w:rStyle w:val="scinsert"/>
        </w:rPr>
        <w:tab/>
      </w:r>
      <w:r w:rsidR="004E6C8A">
        <w:rPr>
          <w:rStyle w:val="scinsert"/>
        </w:rPr>
        <w:tab/>
      </w:r>
      <w:r w:rsidR="004E6C8A">
        <w:rPr>
          <w:rStyle w:val="scinsert"/>
        </w:rPr>
        <w:tab/>
      </w:r>
      <w:r>
        <w:rPr>
          <w:rStyle w:val="scinsert"/>
        </w:rPr>
        <w:tab/>
      </w:r>
      <w:bookmarkStart w:name="ss_T15C38N15Siv_lv4_5ee731a24" w:id="19"/>
      <w:r>
        <w:rPr>
          <w:rStyle w:val="scinsert"/>
        </w:rPr>
        <w:t>(</w:t>
      </w:r>
      <w:bookmarkEnd w:id="19"/>
      <w:r w:rsidR="004E6C8A">
        <w:rPr>
          <w:rStyle w:val="scinsert"/>
        </w:rPr>
        <w:t>iv</w:t>
      </w:r>
      <w:r>
        <w:rPr>
          <w:rStyle w:val="scinsert"/>
        </w:rPr>
        <w:t xml:space="preserve">) </w:t>
      </w:r>
      <w:r w:rsidRPr="00511A3A">
        <w:rPr>
          <w:rStyle w:val="scinsert"/>
        </w:rPr>
        <w:t>If fault is allocated to nonparties by the fact finder, then those findings of fault shall not subject a nonparty to liability in the instant action, and such findings may not be introduced as evidence of liability in any action.</w:t>
      </w:r>
    </w:p>
    <w:p w:rsidR="003B1953" w:rsidP="003B1953" w:rsidRDefault="003B1953" w14:paraId="5B951DD2" w14:textId="7E6A900E">
      <w:pPr>
        <w:pStyle w:val="sccodifiedsection"/>
      </w:pPr>
      <w:r>
        <w:tab/>
      </w:r>
      <w:bookmarkStart w:name="ss_T15C38N15SD_lv1_8634d1c11" w:id="20"/>
      <w:r>
        <w:t>(</w:t>
      </w:r>
      <w:bookmarkEnd w:id="20"/>
      <w:r>
        <w:t xml:space="preserve">D) </w:t>
      </w:r>
      <w:proofErr w:type="spellStart"/>
      <w:r>
        <w:rPr>
          <w:rStyle w:val="scstrike"/>
        </w:rPr>
        <w:t>A</w:t>
      </w:r>
      <w:r w:rsidR="00511A3A">
        <w:rPr>
          <w:rStyle w:val="scinsert"/>
        </w:rPr>
        <w:t>Notwithstanding</w:t>
      </w:r>
      <w:proofErr w:type="spellEnd"/>
      <w:r w:rsidR="00511A3A">
        <w:rPr>
          <w:rStyle w:val="scinsert"/>
        </w:rPr>
        <w:t xml:space="preserve"> any other provisions of this section, a</w:t>
      </w:r>
      <w:r>
        <w:t xml:space="preserve"> defendant shall retain the right to assert that another </w:t>
      </w:r>
      <w:r>
        <w:rPr>
          <w:rStyle w:val="scstrike"/>
        </w:rPr>
        <w:t xml:space="preserve">potential </w:t>
      </w:r>
      <w:proofErr w:type="spellStart"/>
      <w:r>
        <w:rPr>
          <w:rStyle w:val="scstrike"/>
        </w:rPr>
        <w:t>tortfeasor</w:t>
      </w:r>
      <w:r w:rsidR="00511A3A">
        <w:rPr>
          <w:rStyle w:val="scinsert"/>
        </w:rPr>
        <w:t>person</w:t>
      </w:r>
      <w:proofErr w:type="spellEnd"/>
      <w:r w:rsidR="00511A3A">
        <w:rPr>
          <w:rStyle w:val="scinsert"/>
        </w:rPr>
        <w:t xml:space="preserve"> or entity</w:t>
      </w:r>
      <w:r>
        <w:t xml:space="preserve">, </w:t>
      </w:r>
      <w:proofErr w:type="gramStart"/>
      <w:r>
        <w:t>whether or not</w:t>
      </w:r>
      <w:proofErr w:type="gramEnd"/>
      <w:r>
        <w:t xml:space="preserve"> a party</w:t>
      </w:r>
      <w:r w:rsidR="00511A3A">
        <w:rPr>
          <w:rStyle w:val="scinsert"/>
        </w:rPr>
        <w:t xml:space="preserve"> to the action</w:t>
      </w:r>
      <w:r>
        <w:t>, contributed to the alleged injury or damages and/or may be liable for any or all of the damages alleged by any other party.</w:t>
      </w:r>
    </w:p>
    <w:p w:rsidR="003B1953" w:rsidP="003B1953" w:rsidRDefault="003B1953" w14:paraId="1720734E" w14:textId="3D22837E">
      <w:pPr>
        <w:pStyle w:val="sccodifiedsection"/>
      </w:pPr>
      <w:r>
        <w:tab/>
      </w:r>
      <w:bookmarkStart w:name="ss_T15C38N15SE_lv1_27da3a19f" w:id="21"/>
      <w:r>
        <w:t>(</w:t>
      </w:r>
      <w:bookmarkEnd w:id="21"/>
      <w:r>
        <w:t xml:space="preserve">E) Notwithstanding the application of this section, setoff from any settlement received from any </w:t>
      </w:r>
      <w:r>
        <w:lastRenderedPageBreak/>
        <w:t xml:space="preserve">potential tortfeasor </w:t>
      </w:r>
      <w:r w:rsidR="00511A3A">
        <w:rPr>
          <w:rStyle w:val="scinsert"/>
        </w:rPr>
        <w:t xml:space="preserve">party or nonparty </w:t>
      </w:r>
      <w:r>
        <w:t xml:space="preserve">prior to the </w:t>
      </w:r>
      <w:r w:rsidR="00511A3A">
        <w:rPr>
          <w:rStyle w:val="scinsert"/>
        </w:rPr>
        <w:t xml:space="preserve">trial or prior to the </w:t>
      </w:r>
      <w:r>
        <w:t>verdict shall be applied in proportion to each defendant</w:t>
      </w:r>
      <w:r w:rsidR="00B177F6">
        <w:t>’</w:t>
      </w:r>
      <w:r>
        <w:t>s percentage of liability as determined pursuant to subsection (C).</w:t>
      </w:r>
    </w:p>
    <w:p w:rsidR="003B1953" w:rsidDel="004E6C8A" w:rsidP="003B1953" w:rsidRDefault="003B1953" w14:paraId="22F57E6D" w14:textId="35D79DC8">
      <w:pPr>
        <w:pStyle w:val="sccodifiedsection"/>
      </w:pPr>
      <w:r>
        <w:rPr>
          <w:rStyle w:val="scstrike"/>
        </w:rPr>
        <w:tab/>
        <w:t xml:space="preserve">(F) This section does not apply to a defendant whose conduct is determined to be </w:t>
      </w:r>
      <w:proofErr w:type="spellStart"/>
      <w:r>
        <w:rPr>
          <w:rStyle w:val="scstrike"/>
        </w:rPr>
        <w:t>wilful</w:t>
      </w:r>
      <w:proofErr w:type="spellEnd"/>
      <w:r>
        <w:rPr>
          <w:rStyle w:val="scstrike"/>
        </w:rPr>
        <w:t>, wanton, reckless, grossly negligent, or intentional or conduct involving the use, sale, or possession of alcohol or the illegal or illicit use, sale, or possession of drugs.</w:t>
      </w:r>
    </w:p>
    <w:p w:rsidR="00DC1118" w:rsidP="00DC1118" w:rsidRDefault="00DC1118" w14:paraId="0C11AD38" w14:textId="77777777">
      <w:pPr>
        <w:pStyle w:val="scemptyline"/>
      </w:pPr>
    </w:p>
    <w:p w:rsidR="00DC1118" w:rsidP="00DC1118" w:rsidRDefault="00DC1118" w14:paraId="3F3D5DA3" w14:textId="77777777">
      <w:pPr>
        <w:pStyle w:val="scdirectionallanguage"/>
      </w:pPr>
      <w:bookmarkStart w:name="bs_num_2_c25fd4021" w:id="22"/>
      <w:r>
        <w:t>S</w:t>
      </w:r>
      <w:bookmarkEnd w:id="22"/>
      <w:r>
        <w:t>ECTION 2.</w:t>
      </w:r>
      <w:r>
        <w:tab/>
      </w:r>
      <w:bookmarkStart w:name="dl_7493a43f3" w:id="23"/>
      <w:r>
        <w:t>S</w:t>
      </w:r>
      <w:bookmarkEnd w:id="23"/>
      <w:r>
        <w:t>ection 15‑38‑20(A) of the S.C. Code is amended to read:</w:t>
      </w:r>
    </w:p>
    <w:p w:rsidR="00DC1118" w:rsidP="00DC1118" w:rsidRDefault="00DC1118" w14:paraId="584B3723" w14:textId="77777777">
      <w:pPr>
        <w:pStyle w:val="sccodifiedsection"/>
      </w:pPr>
    </w:p>
    <w:p w:rsidR="00DC1118" w:rsidP="00DC1118" w:rsidRDefault="00DC1118" w14:paraId="2AF68FB0" w14:textId="529127F8">
      <w:pPr>
        <w:pStyle w:val="sccodifiedsection"/>
      </w:pPr>
      <w:bookmarkStart w:name="cs_T15C38N20_e0528a63e" w:id="24"/>
      <w:r>
        <w:tab/>
      </w:r>
      <w:bookmarkStart w:name="ss_T15C38N20SA_lv1_aa846abc5" w:id="25"/>
      <w:bookmarkEnd w:id="24"/>
      <w:r>
        <w:t>(</w:t>
      </w:r>
      <w:bookmarkEnd w:id="25"/>
      <w:r>
        <w:t xml:space="preserve">A) Except as otherwise provided in this chapter, where two or more persons </w:t>
      </w:r>
      <w:r w:rsidR="00233345">
        <w:rPr>
          <w:rStyle w:val="scinsert"/>
        </w:rPr>
        <w:t xml:space="preserve">or entities </w:t>
      </w:r>
      <w:r>
        <w:t>become jointly or severally liable in tort for the same injury to person or property or for the same wrongful death, there is a right of contribution among them even though judgment has not been recovered against all or any of them.</w:t>
      </w:r>
    </w:p>
    <w:p w:rsidR="00233345" w:rsidP="00233345" w:rsidRDefault="00233345" w14:paraId="0C81B7CC" w14:textId="77777777">
      <w:pPr>
        <w:pStyle w:val="scemptyline"/>
      </w:pPr>
    </w:p>
    <w:p w:rsidR="00233345" w:rsidP="00233345" w:rsidRDefault="00233345" w14:paraId="7D94F034" w14:textId="77777777">
      <w:pPr>
        <w:pStyle w:val="scdirectionallanguage"/>
      </w:pPr>
      <w:bookmarkStart w:name="bs_num_3_7470880fa" w:id="26"/>
      <w:r>
        <w:t>S</w:t>
      </w:r>
      <w:bookmarkEnd w:id="26"/>
      <w:r>
        <w:t>ECTION 3.</w:t>
      </w:r>
      <w:r>
        <w:tab/>
      </w:r>
      <w:bookmarkStart w:name="dl_ac4c5e540" w:id="27"/>
      <w:r>
        <w:t>S</w:t>
      </w:r>
      <w:bookmarkEnd w:id="27"/>
      <w:r>
        <w:t>ection 15‑38‑40(B) of the S.C. Code is amended to read:</w:t>
      </w:r>
    </w:p>
    <w:p w:rsidR="00233345" w:rsidP="00233345" w:rsidRDefault="00233345" w14:paraId="27B26FF4" w14:textId="77777777">
      <w:pPr>
        <w:pStyle w:val="sccodifiedsection"/>
      </w:pPr>
    </w:p>
    <w:p w:rsidR="00233345" w:rsidP="00233345" w:rsidRDefault="00233345" w14:paraId="07CD4C7C" w14:textId="260FD81E">
      <w:pPr>
        <w:pStyle w:val="sccodifiedsection"/>
      </w:pPr>
      <w:bookmarkStart w:name="cs_T15C38N40_b8a34286c" w:id="28"/>
      <w:r>
        <w:tab/>
      </w:r>
      <w:bookmarkStart w:name="ss_T15C38N40SB_lv1_8caf0dcf2" w:id="29"/>
      <w:bookmarkEnd w:id="28"/>
      <w:r>
        <w:t>(</w:t>
      </w:r>
      <w:bookmarkEnd w:id="29"/>
      <w:r>
        <w:t xml:space="preserve">B) Where a judgment has been entered in an action against two or more tortfeasors for the same injury or wrongful death, contribution may be enforced in that action by judgment in favor of one against other judgment defendants by motion upon notice to all parties to the action. </w:t>
      </w:r>
      <w:bookmarkStart w:name="open_doc_here" w:id="30"/>
      <w:bookmarkEnd w:id="30"/>
      <w:r>
        <w:t xml:space="preserve">Provided, however, contribution may not be enforced in the action until the issue of liability and resulting damages against the defendant or defendants named in the action is determined. Once the issue of liability has been resolved, subject to Section 15‑38‑20(B), a defendant has the right to seek contribution against any judgment defendant and other persons </w:t>
      </w:r>
      <w:r w:rsidR="00814D06">
        <w:rPr>
          <w:rStyle w:val="scinsert"/>
        </w:rPr>
        <w:t xml:space="preserve">or entities </w:t>
      </w:r>
      <w:r>
        <w:t>who were not made parties to the action.</w:t>
      </w:r>
    </w:p>
    <w:p w:rsidR="00247B7B" w:rsidP="00247B7B" w:rsidRDefault="00247B7B" w14:paraId="46D84E50" w14:textId="77777777">
      <w:pPr>
        <w:pStyle w:val="scemptyline"/>
      </w:pPr>
    </w:p>
    <w:p w:rsidR="00247B7B" w:rsidP="00247B7B" w:rsidRDefault="00247B7B" w14:paraId="784A5E19" w14:textId="77777777">
      <w:pPr>
        <w:pStyle w:val="scdirectionallanguage"/>
      </w:pPr>
      <w:bookmarkStart w:name="bs_num_4_49d98c894" w:id="31"/>
      <w:r>
        <w:t>S</w:t>
      </w:r>
      <w:bookmarkEnd w:id="31"/>
      <w:r>
        <w:t>ECTION 4.</w:t>
      </w:r>
      <w:r>
        <w:tab/>
      </w:r>
      <w:bookmarkStart w:name="dl_4b42010d6" w:id="32"/>
      <w:r>
        <w:t>S</w:t>
      </w:r>
      <w:bookmarkEnd w:id="32"/>
      <w:r>
        <w:t>ection 15‑38‑50 of the S.C. Code is amended to read:</w:t>
      </w:r>
    </w:p>
    <w:p w:rsidR="00247B7B" w:rsidP="00247B7B" w:rsidRDefault="00247B7B" w14:paraId="6964E6D9" w14:textId="77777777">
      <w:pPr>
        <w:pStyle w:val="sccodifiedsection"/>
      </w:pPr>
    </w:p>
    <w:p w:rsidR="00247B7B" w:rsidP="00247B7B" w:rsidRDefault="00247B7B" w14:paraId="138A3B63" w14:textId="26A9F48C">
      <w:pPr>
        <w:pStyle w:val="sccodifiedsection"/>
      </w:pPr>
      <w:r>
        <w:tab/>
      </w:r>
      <w:bookmarkStart w:name="cs_T15C38N50_7dae20e7a" w:id="33"/>
      <w:r>
        <w:t>S</w:t>
      </w:r>
      <w:bookmarkEnd w:id="33"/>
      <w:r>
        <w:t>ection 15‑38‑50.</w:t>
      </w:r>
      <w:r>
        <w:tab/>
      </w:r>
      <w:bookmarkStart w:name="up_f0ea2ca5a" w:id="34"/>
      <w:r>
        <w:t>W</w:t>
      </w:r>
      <w:bookmarkEnd w:id="34"/>
      <w:r>
        <w:t xml:space="preserve">hen a release or a covenant not to sue or not to enforce judgment is given in good faith </w:t>
      </w:r>
      <w:r w:rsidR="00F70264">
        <w:rPr>
          <w:rStyle w:val="scinsert"/>
        </w:rPr>
        <w:t xml:space="preserve">by the plaintiff </w:t>
      </w:r>
      <w:r>
        <w:t>to one of two or more persons</w:t>
      </w:r>
      <w:r w:rsidR="00F70264">
        <w:rPr>
          <w:rStyle w:val="scinsert"/>
        </w:rPr>
        <w:t xml:space="preserve"> or entities</w:t>
      </w:r>
      <w:r>
        <w:t xml:space="preserve"> liable in tort for the same injury or the same wrongful death:</w:t>
      </w:r>
    </w:p>
    <w:p w:rsidR="00247B7B" w:rsidP="00247B7B" w:rsidRDefault="00247B7B" w14:paraId="3A180E1C" w14:textId="7F0E7F4A">
      <w:pPr>
        <w:pStyle w:val="sccodifiedsection"/>
      </w:pPr>
      <w:r>
        <w:tab/>
      </w:r>
      <w:bookmarkStart w:name="ss_T15C38N50S1_lv1_dba580ca3" w:id="35"/>
      <w:r>
        <w:t>(</w:t>
      </w:r>
      <w:bookmarkEnd w:id="35"/>
      <w:r>
        <w:t xml:space="preserve">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t>
      </w:r>
      <w:r w:rsidR="00F70264">
        <w:rPr>
          <w:rStyle w:val="scinsert"/>
        </w:rPr>
        <w:t xml:space="preserve">or the percentage of fault attributable to that person or entity pursuant to Section 15‑38‑15(C), </w:t>
      </w:r>
      <w:r>
        <w:t>whichever is the greater; and</w:t>
      </w:r>
    </w:p>
    <w:p w:rsidR="00247B7B" w:rsidP="00247B7B" w:rsidRDefault="00247B7B" w14:paraId="26110F58" w14:textId="6C5BDF0A">
      <w:pPr>
        <w:pStyle w:val="sccodifiedsection"/>
      </w:pPr>
      <w:r>
        <w:tab/>
      </w:r>
      <w:bookmarkStart w:name="ss_T15C38N50S2_lv1_d9c180aa3" w:id="36"/>
      <w:r>
        <w:t>(</w:t>
      </w:r>
      <w:bookmarkEnd w:id="36"/>
      <w:r>
        <w:t>2) it discharges the tortfeasor to whom it is given from all liability for contribution to any other tortfeasor.</w:t>
      </w:r>
    </w:p>
    <w:p w:rsidR="00995B7E" w:rsidP="00995B7E" w:rsidRDefault="00995B7E" w14:paraId="123E92B5" w14:textId="77777777">
      <w:pPr>
        <w:pStyle w:val="scemptyline"/>
      </w:pPr>
    </w:p>
    <w:p w:rsidR="0008532D" w:rsidP="0008532D" w:rsidRDefault="00995B7E" w14:paraId="0ABE6A5D" w14:textId="7DE3AE32">
      <w:pPr>
        <w:pStyle w:val="scnoncodifiedsection"/>
      </w:pPr>
      <w:bookmarkStart w:name="bs_num_5_f9c5fa2e9" w:id="37"/>
      <w:bookmarkStart w:name="savings_27b238adf" w:id="38"/>
      <w:r>
        <w:lastRenderedPageBreak/>
        <w:t>S</w:t>
      </w:r>
      <w:bookmarkEnd w:id="37"/>
      <w:r>
        <w:t>ECTION 5.</w:t>
      </w:r>
      <w:r>
        <w:tab/>
      </w:r>
      <w:bookmarkEnd w:id="38"/>
      <w:r w:rsidRPr="00683A6D" w:rsidR="0008532D">
        <w:t xml:space="preserve">The repeal or amendment by this act of any law, whether temporary or permanent or civil or criminal, does not </w:t>
      </w:r>
      <w:r w:rsidR="0008532D">
        <w:t>a</w:t>
      </w:r>
      <w:r w:rsidRPr="00683A6D" w:rsidR="0008532D">
        <w:t>ffect pending actions, rights, duties, or liabilities founded thereon, or alter</w:t>
      </w:r>
      <w:r w:rsidRPr="007E38A7" w:rsidR="0008532D">
        <w:t>,</w:t>
      </w:r>
      <w:r w:rsidRPr="00683A6D" w:rsidR="0008532D">
        <w:t xml:space="preserve"> discharge, release or extinguish any penalty, forfeiture, or liability</w:t>
      </w:r>
      <w:r w:rsidRPr="007E38A7" w:rsidR="0008532D">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8532D">
        <w:t>.</w:t>
      </w:r>
    </w:p>
    <w:p w:rsidRPr="00DF3B44" w:rsidR="007E06BB" w:rsidP="00787433" w:rsidRDefault="007E06BB" w14:paraId="3D8F1FED" w14:textId="058EE1F4">
      <w:pPr>
        <w:pStyle w:val="scemptyline"/>
      </w:pPr>
    </w:p>
    <w:p w:rsidRPr="00DF3B44" w:rsidR="007A10F1" w:rsidP="007A10F1" w:rsidRDefault="00E27805" w14:paraId="0E9393B4" w14:textId="3A662836">
      <w:pPr>
        <w:pStyle w:val="scnoncodifiedsection"/>
      </w:pPr>
      <w:bookmarkStart w:name="bs_num_6_lastsection" w:id="39"/>
      <w:bookmarkStart w:name="eff_date_section" w:id="40"/>
      <w:r w:rsidRPr="00DF3B44">
        <w:t>S</w:t>
      </w:r>
      <w:bookmarkEnd w:id="39"/>
      <w:r w:rsidRPr="00DF3B44">
        <w:t>ECTION 6.</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380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93DA8A" w:rsidR="00685035" w:rsidRPr="007B4AF7" w:rsidRDefault="000750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6CAB">
              <w:rPr>
                <w:noProof/>
              </w:rPr>
              <w:t>LC-0077AHB25.docx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A77"/>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0E9"/>
    <w:rsid w:val="00077B65"/>
    <w:rsid w:val="0008506C"/>
    <w:rsid w:val="0008532D"/>
    <w:rsid w:val="000A3C25"/>
    <w:rsid w:val="000B1F4B"/>
    <w:rsid w:val="000B4C02"/>
    <w:rsid w:val="000B5B4A"/>
    <w:rsid w:val="000B7FE1"/>
    <w:rsid w:val="000C3E88"/>
    <w:rsid w:val="000C46B9"/>
    <w:rsid w:val="000C58E4"/>
    <w:rsid w:val="000C6F9A"/>
    <w:rsid w:val="000C7A71"/>
    <w:rsid w:val="000D2F44"/>
    <w:rsid w:val="000D33E4"/>
    <w:rsid w:val="000E578A"/>
    <w:rsid w:val="000F2250"/>
    <w:rsid w:val="0010329A"/>
    <w:rsid w:val="00105756"/>
    <w:rsid w:val="001164F9"/>
    <w:rsid w:val="0011719C"/>
    <w:rsid w:val="00120249"/>
    <w:rsid w:val="00121382"/>
    <w:rsid w:val="00140049"/>
    <w:rsid w:val="00166221"/>
    <w:rsid w:val="00171601"/>
    <w:rsid w:val="001730EB"/>
    <w:rsid w:val="00173276"/>
    <w:rsid w:val="001732B0"/>
    <w:rsid w:val="00176122"/>
    <w:rsid w:val="0019025B"/>
    <w:rsid w:val="00192AF7"/>
    <w:rsid w:val="00197366"/>
    <w:rsid w:val="001A136C"/>
    <w:rsid w:val="001B6DA2"/>
    <w:rsid w:val="001C25EC"/>
    <w:rsid w:val="001D67AC"/>
    <w:rsid w:val="001F2A41"/>
    <w:rsid w:val="001F313F"/>
    <w:rsid w:val="001F331D"/>
    <w:rsid w:val="001F394C"/>
    <w:rsid w:val="002038AA"/>
    <w:rsid w:val="002114C8"/>
    <w:rsid w:val="0021166F"/>
    <w:rsid w:val="002162DF"/>
    <w:rsid w:val="00230038"/>
    <w:rsid w:val="00233345"/>
    <w:rsid w:val="00233975"/>
    <w:rsid w:val="00236D73"/>
    <w:rsid w:val="00246535"/>
    <w:rsid w:val="00247B7B"/>
    <w:rsid w:val="00257F60"/>
    <w:rsid w:val="002625EA"/>
    <w:rsid w:val="00262AC5"/>
    <w:rsid w:val="00264AE9"/>
    <w:rsid w:val="00267FC6"/>
    <w:rsid w:val="00275AE6"/>
    <w:rsid w:val="002836D8"/>
    <w:rsid w:val="002A7989"/>
    <w:rsid w:val="002B02F3"/>
    <w:rsid w:val="002C3463"/>
    <w:rsid w:val="002D266D"/>
    <w:rsid w:val="002D5B3D"/>
    <w:rsid w:val="002D7447"/>
    <w:rsid w:val="002E0105"/>
    <w:rsid w:val="002E315A"/>
    <w:rsid w:val="002E4F8C"/>
    <w:rsid w:val="002F252C"/>
    <w:rsid w:val="002F2711"/>
    <w:rsid w:val="002F560C"/>
    <w:rsid w:val="002F5847"/>
    <w:rsid w:val="0030425A"/>
    <w:rsid w:val="00304AF0"/>
    <w:rsid w:val="0031003A"/>
    <w:rsid w:val="00333CA6"/>
    <w:rsid w:val="00334AEF"/>
    <w:rsid w:val="003421F1"/>
    <w:rsid w:val="0034279C"/>
    <w:rsid w:val="00354F64"/>
    <w:rsid w:val="003558FC"/>
    <w:rsid w:val="003559A1"/>
    <w:rsid w:val="003576F0"/>
    <w:rsid w:val="00360288"/>
    <w:rsid w:val="00361563"/>
    <w:rsid w:val="00366980"/>
    <w:rsid w:val="00371D36"/>
    <w:rsid w:val="00373E17"/>
    <w:rsid w:val="003775E6"/>
    <w:rsid w:val="00381998"/>
    <w:rsid w:val="003930E7"/>
    <w:rsid w:val="003A5ADC"/>
    <w:rsid w:val="003A5F1C"/>
    <w:rsid w:val="003B1953"/>
    <w:rsid w:val="003C3E2E"/>
    <w:rsid w:val="003D4A3C"/>
    <w:rsid w:val="003D55B2"/>
    <w:rsid w:val="003E0033"/>
    <w:rsid w:val="003E5452"/>
    <w:rsid w:val="003E5F32"/>
    <w:rsid w:val="003E7165"/>
    <w:rsid w:val="003E7FF6"/>
    <w:rsid w:val="004046B5"/>
    <w:rsid w:val="00406F27"/>
    <w:rsid w:val="004141B8"/>
    <w:rsid w:val="004203B9"/>
    <w:rsid w:val="00432135"/>
    <w:rsid w:val="00446987"/>
    <w:rsid w:val="00446D28"/>
    <w:rsid w:val="00466CD0"/>
    <w:rsid w:val="00467D56"/>
    <w:rsid w:val="00470A2B"/>
    <w:rsid w:val="00473583"/>
    <w:rsid w:val="004735AB"/>
    <w:rsid w:val="00477F32"/>
    <w:rsid w:val="00481850"/>
    <w:rsid w:val="004851A0"/>
    <w:rsid w:val="00486165"/>
    <w:rsid w:val="0048627F"/>
    <w:rsid w:val="004932AB"/>
    <w:rsid w:val="00494BEF"/>
    <w:rsid w:val="00497674"/>
    <w:rsid w:val="004A5512"/>
    <w:rsid w:val="004A6BE5"/>
    <w:rsid w:val="004B0C18"/>
    <w:rsid w:val="004C0B04"/>
    <w:rsid w:val="004C1A04"/>
    <w:rsid w:val="004C20BC"/>
    <w:rsid w:val="004C5C9A"/>
    <w:rsid w:val="004D1442"/>
    <w:rsid w:val="004D3DCB"/>
    <w:rsid w:val="004D5754"/>
    <w:rsid w:val="004D7B5B"/>
    <w:rsid w:val="004E1946"/>
    <w:rsid w:val="004E66E9"/>
    <w:rsid w:val="004E6C8A"/>
    <w:rsid w:val="004E7DDE"/>
    <w:rsid w:val="004F0090"/>
    <w:rsid w:val="004F11A5"/>
    <w:rsid w:val="004F172C"/>
    <w:rsid w:val="004F674A"/>
    <w:rsid w:val="005002ED"/>
    <w:rsid w:val="00500DBC"/>
    <w:rsid w:val="00502BEA"/>
    <w:rsid w:val="00503F40"/>
    <w:rsid w:val="00505BF4"/>
    <w:rsid w:val="005102BE"/>
    <w:rsid w:val="00510FDE"/>
    <w:rsid w:val="00511A3A"/>
    <w:rsid w:val="00523F7F"/>
    <w:rsid w:val="00524D54"/>
    <w:rsid w:val="0054531B"/>
    <w:rsid w:val="005464E7"/>
    <w:rsid w:val="00546C24"/>
    <w:rsid w:val="005476FF"/>
    <w:rsid w:val="005516F6"/>
    <w:rsid w:val="00552842"/>
    <w:rsid w:val="00553B4A"/>
    <w:rsid w:val="00554E89"/>
    <w:rsid w:val="00561A9A"/>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735"/>
    <w:rsid w:val="005F76B0"/>
    <w:rsid w:val="00604429"/>
    <w:rsid w:val="006067B0"/>
    <w:rsid w:val="00606A8B"/>
    <w:rsid w:val="00611EBA"/>
    <w:rsid w:val="006213A8"/>
    <w:rsid w:val="006216E2"/>
    <w:rsid w:val="006239A6"/>
    <w:rsid w:val="00623BEA"/>
    <w:rsid w:val="006347E9"/>
    <w:rsid w:val="00640C87"/>
    <w:rsid w:val="006454BB"/>
    <w:rsid w:val="00657CF4"/>
    <w:rsid w:val="00661463"/>
    <w:rsid w:val="00661896"/>
    <w:rsid w:val="00662518"/>
    <w:rsid w:val="00663B8D"/>
    <w:rsid w:val="00663E00"/>
    <w:rsid w:val="00664F48"/>
    <w:rsid w:val="00664FAD"/>
    <w:rsid w:val="0067345B"/>
    <w:rsid w:val="00683986"/>
    <w:rsid w:val="00685035"/>
    <w:rsid w:val="00685770"/>
    <w:rsid w:val="00690DBA"/>
    <w:rsid w:val="006964F9"/>
    <w:rsid w:val="006A395F"/>
    <w:rsid w:val="006A65E2"/>
    <w:rsid w:val="006B37BD"/>
    <w:rsid w:val="006B7E13"/>
    <w:rsid w:val="006C092D"/>
    <w:rsid w:val="006C099D"/>
    <w:rsid w:val="006C18F0"/>
    <w:rsid w:val="006C7E01"/>
    <w:rsid w:val="006D64A5"/>
    <w:rsid w:val="006E0935"/>
    <w:rsid w:val="006E353F"/>
    <w:rsid w:val="006E35AB"/>
    <w:rsid w:val="006E42E3"/>
    <w:rsid w:val="0070578B"/>
    <w:rsid w:val="00711AA9"/>
    <w:rsid w:val="00722155"/>
    <w:rsid w:val="00737F19"/>
    <w:rsid w:val="00745AE4"/>
    <w:rsid w:val="00782BF8"/>
    <w:rsid w:val="00783C75"/>
    <w:rsid w:val="007849D9"/>
    <w:rsid w:val="00787165"/>
    <w:rsid w:val="00787433"/>
    <w:rsid w:val="00793200"/>
    <w:rsid w:val="00794C09"/>
    <w:rsid w:val="007A10F1"/>
    <w:rsid w:val="007A3D50"/>
    <w:rsid w:val="007B2D29"/>
    <w:rsid w:val="007B412F"/>
    <w:rsid w:val="007B4AF7"/>
    <w:rsid w:val="007B4DBF"/>
    <w:rsid w:val="007C5458"/>
    <w:rsid w:val="007D14C8"/>
    <w:rsid w:val="007D2C67"/>
    <w:rsid w:val="007E06BB"/>
    <w:rsid w:val="007E181A"/>
    <w:rsid w:val="007E3802"/>
    <w:rsid w:val="007F50D1"/>
    <w:rsid w:val="00806A06"/>
    <w:rsid w:val="00814D06"/>
    <w:rsid w:val="00816D52"/>
    <w:rsid w:val="00831048"/>
    <w:rsid w:val="00833666"/>
    <w:rsid w:val="00834272"/>
    <w:rsid w:val="00834E2C"/>
    <w:rsid w:val="008625C1"/>
    <w:rsid w:val="0087174E"/>
    <w:rsid w:val="0087671D"/>
    <w:rsid w:val="008806F9"/>
    <w:rsid w:val="00887957"/>
    <w:rsid w:val="008A4D64"/>
    <w:rsid w:val="008A57E3"/>
    <w:rsid w:val="008B5BF4"/>
    <w:rsid w:val="008C0CEE"/>
    <w:rsid w:val="008C1B18"/>
    <w:rsid w:val="008D46EC"/>
    <w:rsid w:val="008D7346"/>
    <w:rsid w:val="008E0E25"/>
    <w:rsid w:val="008E5E40"/>
    <w:rsid w:val="008E61A1"/>
    <w:rsid w:val="009031EF"/>
    <w:rsid w:val="00917EA3"/>
    <w:rsid w:val="00917EE0"/>
    <w:rsid w:val="00921C89"/>
    <w:rsid w:val="00926966"/>
    <w:rsid w:val="00926D03"/>
    <w:rsid w:val="009308B5"/>
    <w:rsid w:val="00934036"/>
    <w:rsid w:val="00934889"/>
    <w:rsid w:val="0094541D"/>
    <w:rsid w:val="009473EA"/>
    <w:rsid w:val="009520C0"/>
    <w:rsid w:val="00954E7E"/>
    <w:rsid w:val="009554D9"/>
    <w:rsid w:val="009572F9"/>
    <w:rsid w:val="00960401"/>
    <w:rsid w:val="00960D0F"/>
    <w:rsid w:val="0098366F"/>
    <w:rsid w:val="00983A03"/>
    <w:rsid w:val="00986063"/>
    <w:rsid w:val="00991F67"/>
    <w:rsid w:val="00992876"/>
    <w:rsid w:val="00995B7E"/>
    <w:rsid w:val="009A0DCE"/>
    <w:rsid w:val="009A22CD"/>
    <w:rsid w:val="009A3E4B"/>
    <w:rsid w:val="009B35FD"/>
    <w:rsid w:val="009B6815"/>
    <w:rsid w:val="009D2967"/>
    <w:rsid w:val="009D3C2B"/>
    <w:rsid w:val="009D3E89"/>
    <w:rsid w:val="009E4191"/>
    <w:rsid w:val="009F0033"/>
    <w:rsid w:val="009F2AB1"/>
    <w:rsid w:val="009F4FAF"/>
    <w:rsid w:val="009F68F1"/>
    <w:rsid w:val="00A01D8E"/>
    <w:rsid w:val="00A02DBD"/>
    <w:rsid w:val="00A04529"/>
    <w:rsid w:val="00A0584B"/>
    <w:rsid w:val="00A11904"/>
    <w:rsid w:val="00A17135"/>
    <w:rsid w:val="00A21A6F"/>
    <w:rsid w:val="00A24E56"/>
    <w:rsid w:val="00A26A62"/>
    <w:rsid w:val="00A35A9B"/>
    <w:rsid w:val="00A4070E"/>
    <w:rsid w:val="00A40CA0"/>
    <w:rsid w:val="00A41119"/>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72CD"/>
    <w:rsid w:val="00B1161F"/>
    <w:rsid w:val="00B11661"/>
    <w:rsid w:val="00B177F6"/>
    <w:rsid w:val="00B32B4D"/>
    <w:rsid w:val="00B41105"/>
    <w:rsid w:val="00B4137E"/>
    <w:rsid w:val="00B54DF7"/>
    <w:rsid w:val="00B56223"/>
    <w:rsid w:val="00B56E79"/>
    <w:rsid w:val="00B57AA7"/>
    <w:rsid w:val="00B637AA"/>
    <w:rsid w:val="00B63BE2"/>
    <w:rsid w:val="00B7592C"/>
    <w:rsid w:val="00B77510"/>
    <w:rsid w:val="00B809D3"/>
    <w:rsid w:val="00B84B66"/>
    <w:rsid w:val="00B85475"/>
    <w:rsid w:val="00B9090A"/>
    <w:rsid w:val="00B92196"/>
    <w:rsid w:val="00B9228D"/>
    <w:rsid w:val="00B929EC"/>
    <w:rsid w:val="00BB0725"/>
    <w:rsid w:val="00BB14BD"/>
    <w:rsid w:val="00BC408A"/>
    <w:rsid w:val="00BC5023"/>
    <w:rsid w:val="00BC556C"/>
    <w:rsid w:val="00BC5C65"/>
    <w:rsid w:val="00BD3F98"/>
    <w:rsid w:val="00BD42DA"/>
    <w:rsid w:val="00BD4684"/>
    <w:rsid w:val="00BE08A7"/>
    <w:rsid w:val="00BE4391"/>
    <w:rsid w:val="00BF3E48"/>
    <w:rsid w:val="00C004E3"/>
    <w:rsid w:val="00C15F1B"/>
    <w:rsid w:val="00C16288"/>
    <w:rsid w:val="00C17D1D"/>
    <w:rsid w:val="00C338A4"/>
    <w:rsid w:val="00C45923"/>
    <w:rsid w:val="00C461E8"/>
    <w:rsid w:val="00C51890"/>
    <w:rsid w:val="00C543E7"/>
    <w:rsid w:val="00C613E3"/>
    <w:rsid w:val="00C70225"/>
    <w:rsid w:val="00C72198"/>
    <w:rsid w:val="00C73C7D"/>
    <w:rsid w:val="00C75005"/>
    <w:rsid w:val="00C970DF"/>
    <w:rsid w:val="00CA7E71"/>
    <w:rsid w:val="00CB2673"/>
    <w:rsid w:val="00CB701D"/>
    <w:rsid w:val="00CC3F0E"/>
    <w:rsid w:val="00CC4227"/>
    <w:rsid w:val="00CD08C9"/>
    <w:rsid w:val="00CD1FE8"/>
    <w:rsid w:val="00CD38CD"/>
    <w:rsid w:val="00CD3E0C"/>
    <w:rsid w:val="00CD5565"/>
    <w:rsid w:val="00CD616C"/>
    <w:rsid w:val="00CD6CAB"/>
    <w:rsid w:val="00CF651E"/>
    <w:rsid w:val="00CF68D6"/>
    <w:rsid w:val="00CF7B4A"/>
    <w:rsid w:val="00D009F8"/>
    <w:rsid w:val="00D078DA"/>
    <w:rsid w:val="00D12C49"/>
    <w:rsid w:val="00D12F95"/>
    <w:rsid w:val="00D14995"/>
    <w:rsid w:val="00D17525"/>
    <w:rsid w:val="00D204F2"/>
    <w:rsid w:val="00D2455C"/>
    <w:rsid w:val="00D25023"/>
    <w:rsid w:val="00D27F8C"/>
    <w:rsid w:val="00D32885"/>
    <w:rsid w:val="00D33843"/>
    <w:rsid w:val="00D54A6F"/>
    <w:rsid w:val="00D57D57"/>
    <w:rsid w:val="00D62E42"/>
    <w:rsid w:val="00D772FB"/>
    <w:rsid w:val="00D8204E"/>
    <w:rsid w:val="00D8451E"/>
    <w:rsid w:val="00DA1AA0"/>
    <w:rsid w:val="00DA512B"/>
    <w:rsid w:val="00DB6D18"/>
    <w:rsid w:val="00DB6FC8"/>
    <w:rsid w:val="00DC1118"/>
    <w:rsid w:val="00DC44A8"/>
    <w:rsid w:val="00DE40B1"/>
    <w:rsid w:val="00DE4BEE"/>
    <w:rsid w:val="00DE5B3D"/>
    <w:rsid w:val="00DE7112"/>
    <w:rsid w:val="00DF19BE"/>
    <w:rsid w:val="00DF3B44"/>
    <w:rsid w:val="00E1372E"/>
    <w:rsid w:val="00E21D30"/>
    <w:rsid w:val="00E24D9A"/>
    <w:rsid w:val="00E27805"/>
    <w:rsid w:val="00E27A11"/>
    <w:rsid w:val="00E30497"/>
    <w:rsid w:val="00E31231"/>
    <w:rsid w:val="00E358A2"/>
    <w:rsid w:val="00E35BE4"/>
    <w:rsid w:val="00E35C9A"/>
    <w:rsid w:val="00E3771B"/>
    <w:rsid w:val="00E40979"/>
    <w:rsid w:val="00E43F26"/>
    <w:rsid w:val="00E52A36"/>
    <w:rsid w:val="00E6378B"/>
    <w:rsid w:val="00E63EC3"/>
    <w:rsid w:val="00E653DA"/>
    <w:rsid w:val="00E65958"/>
    <w:rsid w:val="00E75634"/>
    <w:rsid w:val="00E84FE5"/>
    <w:rsid w:val="00E879A5"/>
    <w:rsid w:val="00E879FC"/>
    <w:rsid w:val="00EA2574"/>
    <w:rsid w:val="00EA2F1F"/>
    <w:rsid w:val="00EA3F2E"/>
    <w:rsid w:val="00EA57EC"/>
    <w:rsid w:val="00EA6208"/>
    <w:rsid w:val="00EB120E"/>
    <w:rsid w:val="00EB34C8"/>
    <w:rsid w:val="00EB46E2"/>
    <w:rsid w:val="00EC0045"/>
    <w:rsid w:val="00ED452E"/>
    <w:rsid w:val="00ED5A63"/>
    <w:rsid w:val="00EE3CDA"/>
    <w:rsid w:val="00EF37A8"/>
    <w:rsid w:val="00EF531F"/>
    <w:rsid w:val="00F05FE8"/>
    <w:rsid w:val="00F06D86"/>
    <w:rsid w:val="00F12803"/>
    <w:rsid w:val="00F13D87"/>
    <w:rsid w:val="00F149E5"/>
    <w:rsid w:val="00F15E33"/>
    <w:rsid w:val="00F16DCD"/>
    <w:rsid w:val="00F17504"/>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264"/>
    <w:rsid w:val="00F900B4"/>
    <w:rsid w:val="00FA0F2E"/>
    <w:rsid w:val="00FA3B80"/>
    <w:rsid w:val="00FA4DB1"/>
    <w:rsid w:val="00FB3F2A"/>
    <w:rsid w:val="00FC337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5BF4"/>
    <w:rPr>
      <w:rFonts w:ascii="Times New Roman" w:hAnsi="Times New Roman"/>
      <w:b w:val="0"/>
      <w:i w:val="0"/>
      <w:sz w:val="22"/>
    </w:rPr>
  </w:style>
  <w:style w:type="paragraph" w:styleId="NoSpacing">
    <w:name w:val="No Spacing"/>
    <w:uiPriority w:val="1"/>
    <w:qFormat/>
    <w:rsid w:val="00505BF4"/>
    <w:pPr>
      <w:spacing w:after="0" w:line="240" w:lineRule="auto"/>
    </w:pPr>
  </w:style>
  <w:style w:type="paragraph" w:customStyle="1" w:styleId="scemptylineheader">
    <w:name w:val="sc_emptyline_header"/>
    <w:qFormat/>
    <w:rsid w:val="00505BF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5BF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5BF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5BF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5B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5BF4"/>
    <w:rPr>
      <w:color w:val="808080"/>
    </w:rPr>
  </w:style>
  <w:style w:type="paragraph" w:customStyle="1" w:styleId="scdirectionallanguage">
    <w:name w:val="sc_directional_language"/>
    <w:qFormat/>
    <w:rsid w:val="00505BF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5BF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5BF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5BF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5BF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5B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5BF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5BF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5B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5BF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5BF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5BF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5BF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5BF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5BF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5BF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5BF4"/>
    <w:rPr>
      <w:rFonts w:ascii="Times New Roman" w:hAnsi="Times New Roman"/>
      <w:color w:val="auto"/>
      <w:sz w:val="22"/>
    </w:rPr>
  </w:style>
  <w:style w:type="paragraph" w:customStyle="1" w:styleId="scclippagebillheader">
    <w:name w:val="sc_clip_page_bill_header"/>
    <w:qFormat/>
    <w:rsid w:val="00505BF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5BF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5BF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5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BF4"/>
    <w:rPr>
      <w:lang w:val="en-US"/>
    </w:rPr>
  </w:style>
  <w:style w:type="paragraph" w:styleId="Footer">
    <w:name w:val="footer"/>
    <w:basedOn w:val="Normal"/>
    <w:link w:val="FooterChar"/>
    <w:uiPriority w:val="99"/>
    <w:unhideWhenUsed/>
    <w:rsid w:val="00505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BF4"/>
    <w:rPr>
      <w:lang w:val="en-US"/>
    </w:rPr>
  </w:style>
  <w:style w:type="paragraph" w:styleId="ListParagraph">
    <w:name w:val="List Paragraph"/>
    <w:basedOn w:val="Normal"/>
    <w:uiPriority w:val="34"/>
    <w:qFormat/>
    <w:rsid w:val="00505BF4"/>
    <w:pPr>
      <w:ind w:left="720"/>
      <w:contextualSpacing/>
    </w:pPr>
  </w:style>
  <w:style w:type="paragraph" w:customStyle="1" w:styleId="scbillfooter">
    <w:name w:val="sc_bill_footer"/>
    <w:qFormat/>
    <w:rsid w:val="00505BF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5BF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5BF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5BF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5BF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5B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5BF4"/>
    <w:pPr>
      <w:widowControl w:val="0"/>
      <w:suppressAutoHyphens/>
      <w:spacing w:after="0" w:line="360" w:lineRule="auto"/>
    </w:pPr>
    <w:rPr>
      <w:rFonts w:ascii="Times New Roman" w:hAnsi="Times New Roman"/>
      <w:lang w:val="en-US"/>
    </w:rPr>
  </w:style>
  <w:style w:type="paragraph" w:customStyle="1" w:styleId="sctableln">
    <w:name w:val="sc_table_ln"/>
    <w:qFormat/>
    <w:rsid w:val="00505BF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5BF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5BF4"/>
    <w:rPr>
      <w:strike/>
      <w:dstrike w:val="0"/>
    </w:rPr>
  </w:style>
  <w:style w:type="character" w:customStyle="1" w:styleId="scinsert">
    <w:name w:val="sc_insert"/>
    <w:uiPriority w:val="1"/>
    <w:qFormat/>
    <w:rsid w:val="00505BF4"/>
    <w:rPr>
      <w:caps w:val="0"/>
      <w:smallCaps w:val="0"/>
      <w:strike w:val="0"/>
      <w:dstrike w:val="0"/>
      <w:vanish w:val="0"/>
      <w:u w:val="single"/>
      <w:vertAlign w:val="baseline"/>
    </w:rPr>
  </w:style>
  <w:style w:type="character" w:customStyle="1" w:styleId="scinsertred">
    <w:name w:val="sc_insert_red"/>
    <w:uiPriority w:val="1"/>
    <w:qFormat/>
    <w:rsid w:val="00505BF4"/>
    <w:rPr>
      <w:caps w:val="0"/>
      <w:smallCaps w:val="0"/>
      <w:strike w:val="0"/>
      <w:dstrike w:val="0"/>
      <w:vanish w:val="0"/>
      <w:color w:val="FF0000"/>
      <w:u w:val="single"/>
      <w:vertAlign w:val="baseline"/>
    </w:rPr>
  </w:style>
  <w:style w:type="character" w:customStyle="1" w:styleId="scinsertblue">
    <w:name w:val="sc_insert_blue"/>
    <w:uiPriority w:val="1"/>
    <w:qFormat/>
    <w:rsid w:val="00505BF4"/>
    <w:rPr>
      <w:caps w:val="0"/>
      <w:smallCaps w:val="0"/>
      <w:strike w:val="0"/>
      <w:dstrike w:val="0"/>
      <w:vanish w:val="0"/>
      <w:color w:val="0070C0"/>
      <w:u w:val="single"/>
      <w:vertAlign w:val="baseline"/>
    </w:rPr>
  </w:style>
  <w:style w:type="character" w:customStyle="1" w:styleId="scstrikered">
    <w:name w:val="sc_strike_red"/>
    <w:uiPriority w:val="1"/>
    <w:qFormat/>
    <w:rsid w:val="00505BF4"/>
    <w:rPr>
      <w:strike/>
      <w:dstrike w:val="0"/>
      <w:color w:val="FF0000"/>
    </w:rPr>
  </w:style>
  <w:style w:type="character" w:customStyle="1" w:styleId="scstrikeblue">
    <w:name w:val="sc_strike_blue"/>
    <w:uiPriority w:val="1"/>
    <w:qFormat/>
    <w:rsid w:val="00505BF4"/>
    <w:rPr>
      <w:strike/>
      <w:dstrike w:val="0"/>
      <w:color w:val="0070C0"/>
    </w:rPr>
  </w:style>
  <w:style w:type="character" w:customStyle="1" w:styleId="scinsertbluenounderline">
    <w:name w:val="sc_insert_blue_no_underline"/>
    <w:uiPriority w:val="1"/>
    <w:qFormat/>
    <w:rsid w:val="00505BF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5BF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5BF4"/>
    <w:rPr>
      <w:strike/>
      <w:dstrike w:val="0"/>
      <w:color w:val="0070C0"/>
      <w:lang w:val="en-US"/>
    </w:rPr>
  </w:style>
  <w:style w:type="character" w:customStyle="1" w:styleId="scstrikerednoncodified">
    <w:name w:val="sc_strike_red_non_codified"/>
    <w:uiPriority w:val="1"/>
    <w:qFormat/>
    <w:rsid w:val="00505BF4"/>
    <w:rPr>
      <w:strike/>
      <w:dstrike w:val="0"/>
      <w:color w:val="FF0000"/>
    </w:rPr>
  </w:style>
  <w:style w:type="paragraph" w:customStyle="1" w:styleId="scbillsiglines">
    <w:name w:val="sc_bill_sig_lines"/>
    <w:qFormat/>
    <w:rsid w:val="00505BF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5BF4"/>
    <w:rPr>
      <w:bdr w:val="none" w:sz="0" w:space="0" w:color="auto"/>
      <w:shd w:val="clear" w:color="auto" w:fill="FEC6C6"/>
    </w:rPr>
  </w:style>
  <w:style w:type="character" w:customStyle="1" w:styleId="screstoreblue">
    <w:name w:val="sc_restore_blue"/>
    <w:uiPriority w:val="1"/>
    <w:qFormat/>
    <w:rsid w:val="00505BF4"/>
    <w:rPr>
      <w:color w:val="4472C4" w:themeColor="accent1"/>
      <w:bdr w:val="none" w:sz="0" w:space="0" w:color="auto"/>
      <w:shd w:val="clear" w:color="auto" w:fill="auto"/>
    </w:rPr>
  </w:style>
  <w:style w:type="character" w:customStyle="1" w:styleId="screstorered">
    <w:name w:val="sc_restore_red"/>
    <w:uiPriority w:val="1"/>
    <w:qFormat/>
    <w:rsid w:val="00505BF4"/>
    <w:rPr>
      <w:color w:val="FF0000"/>
      <w:bdr w:val="none" w:sz="0" w:space="0" w:color="auto"/>
      <w:shd w:val="clear" w:color="auto" w:fill="auto"/>
    </w:rPr>
  </w:style>
  <w:style w:type="character" w:customStyle="1" w:styleId="scstrikenewblue">
    <w:name w:val="sc_strike_new_blue"/>
    <w:uiPriority w:val="1"/>
    <w:qFormat/>
    <w:rsid w:val="00505BF4"/>
    <w:rPr>
      <w:strike w:val="0"/>
      <w:dstrike/>
      <w:color w:val="0070C0"/>
      <w:u w:val="none"/>
    </w:rPr>
  </w:style>
  <w:style w:type="character" w:customStyle="1" w:styleId="scstrikenewred">
    <w:name w:val="sc_strike_new_red"/>
    <w:uiPriority w:val="1"/>
    <w:qFormat/>
    <w:rsid w:val="00505BF4"/>
    <w:rPr>
      <w:strike w:val="0"/>
      <w:dstrike/>
      <w:color w:val="FF0000"/>
      <w:u w:val="none"/>
    </w:rPr>
  </w:style>
  <w:style w:type="character" w:customStyle="1" w:styleId="scamendsenate">
    <w:name w:val="sc_amend_senate"/>
    <w:uiPriority w:val="1"/>
    <w:qFormat/>
    <w:rsid w:val="00505BF4"/>
    <w:rPr>
      <w:bdr w:val="none" w:sz="0" w:space="0" w:color="auto"/>
      <w:shd w:val="clear" w:color="auto" w:fill="FFF2CC" w:themeFill="accent4" w:themeFillTint="33"/>
    </w:rPr>
  </w:style>
  <w:style w:type="character" w:customStyle="1" w:styleId="scamendhouse">
    <w:name w:val="sc_amend_house"/>
    <w:uiPriority w:val="1"/>
    <w:qFormat/>
    <w:rsid w:val="00505BF4"/>
    <w:rPr>
      <w:bdr w:val="none" w:sz="0" w:space="0" w:color="auto"/>
      <w:shd w:val="clear" w:color="auto" w:fill="E2EFD9" w:themeFill="accent6" w:themeFillTint="33"/>
    </w:rPr>
  </w:style>
  <w:style w:type="paragraph" w:styleId="Revision">
    <w:name w:val="Revision"/>
    <w:hidden/>
    <w:uiPriority w:val="99"/>
    <w:semiHidden/>
    <w:rsid w:val="0087174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34&amp;session=126&amp;summary=B" TargetMode="External" Id="Rfe84981c44d34ba1" /><Relationship Type="http://schemas.openxmlformats.org/officeDocument/2006/relationships/hyperlink" Target="https://www.scstatehouse.gov/sess126_2025-2026/prever/3534_20241205.docx" TargetMode="External" Id="Rc54850991ec2481e" /><Relationship Type="http://schemas.openxmlformats.org/officeDocument/2006/relationships/hyperlink" Target="h:\hj\20250114.docx" TargetMode="External" Id="Rcb06dea4a1554d8a" /><Relationship Type="http://schemas.openxmlformats.org/officeDocument/2006/relationships/hyperlink" Target="h:\hj\20250114.docx" TargetMode="External" Id="R46ff77533d3841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03F40"/>
    <w:rsid w:val="00580C56"/>
    <w:rsid w:val="006B363F"/>
    <w:rsid w:val="007070D2"/>
    <w:rsid w:val="00776F2C"/>
    <w:rsid w:val="008F7723"/>
    <w:rsid w:val="009031EF"/>
    <w:rsid w:val="00912A5F"/>
    <w:rsid w:val="00940EED"/>
    <w:rsid w:val="00985255"/>
    <w:rsid w:val="009C3651"/>
    <w:rsid w:val="00A11904"/>
    <w:rsid w:val="00A51DBA"/>
    <w:rsid w:val="00B20DA6"/>
    <w:rsid w:val="00B457AF"/>
    <w:rsid w:val="00C338A4"/>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c36dbf1f-6b7c-447e-989f-ce09b0c10f91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a54b6572-871a-4276-86a1-2f1d5a0f1d89</T_BILL_REQUEST_REQUEST>
  <T_BILL_R_ORIGINALDRAFT>e0db760e-ee98-4800-9367-d0645b5558bb</T_BILL_R_ORIGINALDRAFT>
  <T_BILL_SPONSOR_SPONSOR>8d5bce3e-9aa7-4a54-b031-f581642dd221</T_BILL_SPONSOR_SPONSOR>
  <T_BILL_T_BILLNAME>[3534]</T_BILL_T_BILLNAME>
  <T_BILL_T_BILLNUMBER>3534</T_BILL_T_BILLNUMBER>
  <T_BILL_T_BILLTITLE>TO AMEND THE SOUTH CAROLINA CODE OF LAWS BY AMENDING SECTIONS 15‑38‑15, 15‑38‑20, 15‑38‑40, AND 15‑38‑50, ALL RELATING TO THE SOUTH CAROLINA CONTRIBUTION AMONG TORTFEASORS ACT, SO AS TO INCLUDE PERSONS OR ENTITIES FOR THE PURPOSES OF ALLOCATION OF FAULT, AND TO MAKE CONFORMING CHANGES.</T_BILL_T_BILLTITLE>
  <T_BILL_T_CHAMBER>house</T_BILL_T_CHAMBER>
  <T_BILL_T_FILENAME> </T_BILL_T_FILENAME>
  <T_BILL_T_LEGTYPE>bill_statewide</T_BILL_T_LEGTYPE>
  <T_BILL_T_RATNUMBERSTRING>HNone</T_BILL_T_RATNUMBERSTRING>
  <T_BILL_T_SECTIONS>[{"SectionUUID":"3e5f390e-7873-4ceb-b564-fbfa7c90578f","SectionName":"code_section","SectionNumber":1,"SectionType":"code_section","CodeSections":[{"CodeSectionBookmarkName":"cs_T15C38N15_67cd71066","IsConstitutionSection":false,"Identity":"15-38-15","IsNew":false,"SubSections":[{"Level":1,"Identity":"T15C38N15SA","SubSectionBookmarkName":"ss_T15C38N15SA_lv1_ef2c4e36b","IsNewSubSection":false,"SubSectionReplacement":""},{"Level":1,"Identity":"T15C38N15SB","SubSectionBookmarkName":"ss_T15C38N15SB_lv1_acc9bf28d","IsNewSubSection":false,"SubSectionReplacement":""},{"Level":1,"Identity":"T15C38N15SC","SubSectionBookmarkName":"ss_T15C38N15SC_lv1_5ca9ab5af","IsNewSubSection":false,"SubSectionReplacement":""},{"Level":1,"Identity":"T15C38N15SD","SubSectionBookmarkName":"ss_T15C38N15SD_lv1_8634d1c11","IsNewSubSection":false,"SubSectionReplacement":""},{"Level":1,"Identity":"T15C38N15SE","SubSectionBookmarkName":"ss_T15C38N15SE_lv1_27da3a19f","IsNewSubSection":false,"SubSectionReplacement":""},{"Level":2,"Identity":"T15C38N15S1","SubSectionBookmarkName":"ss_T15C38N15S1_lv2_82fca04be","IsNewSubSection":false,"SubSectionReplacement":""},{"Level":2,"Identity":"T15C38N15S2","SubSectionBookmarkName":"ss_T15C38N15S2_lv2_ea7f22031","IsNewSubSection":false,"SubSectionReplacement":""},{"Level":2,"Identity":"T15C38N15S1","SubSectionBookmarkName":"ss_T15C38N15S1_lv2_d1a52c0d9","IsNewSubSection":false,"SubSectionReplacement":""},{"Level":2,"Identity":"T15C38N15S2","SubSectionBookmarkName":"ss_T15C38N15S2_lv2_55b2fe059","IsNewSubSection":false,"SubSectionReplacement":""},{"Level":2,"Identity":"T15C38N15S3","SubSectionBookmarkName":"ss_T15C38N15S3_lv2_b37db80ce","IsNewSubSection":false,"SubSectionReplacement":""},{"Level":3,"Identity":"T15C38N15Sa","SubSectionBookmarkName":"ss_T15C38N15Sa_lv3_5c41e1730","IsNewSubSection":false,"SubSectionReplacement":""},{"Level":3,"Identity":"T15C38N15Sb","SubSectionBookmarkName":"ss_T15C38N15Sb_lv3_cc15d2365","IsNewSubSection":false,"SubSectionReplacement":""},{"Level":3,"Identity":"T15C38N15Sc","SubSectionBookmarkName":"ss_T15C38N15Sc_lv3_b9d207319","IsNewSubSection":false,"SubSectionReplacement":""},{"Level":4,"Identity":"T15C38N15Si","SubSectionBookmarkName":"ss_T15C38N15Si_lv4_0f408d991","IsNewSubSection":false,"SubSectionReplacement":""},{"Level":4,"Identity":"T15C38N15Sii","SubSectionBookmarkName":"ss_T15C38N15Sii_lv4_75231ecd5","IsNewSubSection":false,"SubSectionReplacement":""},{"Level":4,"Identity":"T15C38N15Siii","SubSectionBookmarkName":"ss_T15C38N15Siii_lv4_4cbc2f548","IsNewSubSection":false,"SubSectionReplacement":""},{"Level":4,"Identity":"T15C38N15Siv","SubSectionBookmarkName":"ss_T15C38N15Siv_lv4_5ee731a24","IsNewSubSection":false,"SubSectionReplacement":""}],"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85c07a8f5"},{"SectionUUID":"f50d5d6d-15bd-4dc5-ae28-1d1d4c97aa11","SectionName":"code_section","SectionNumber":2,"SectionType":"code_section","CodeSections":[{"CodeSectionBookmarkName":"cs_T15C38N20_e0528a63e","IsConstitutionSection":false,"Identity":"15-38-20","IsNew":false,"SubSections":[{"Level":1,"Identity":"T15C38N20SA","SubSectionBookmarkName":"ss_T15C38N20SA_lv1_aa846abc5","IsNewSubSection":false,"SubSectionReplacement":""}],"TitleRelatedTo":"Right of contribution.","TitleSoAsTo":"","Deleted":false}],"TitleText":"","DisableControls":false,"Deleted":false,"RepealItems":[],"SectionBookmarkName":"bs_num_2_c25fd4021"},{"SectionUUID":"bb944ea2-d824-4690-b09e-ef937d3115ad","SectionName":"code_section","SectionNumber":3,"SectionType":"code_section","CodeSections":[{"CodeSectionBookmarkName":"cs_T15C38N40_b8a34286c","IsConstitutionSection":false,"Identity":"15-38-40","IsNew":false,"SubSections":[{"Level":1,"Identity":"T15C38N40SB","SubSectionBookmarkName":"ss_T15C38N40SB_lv1_8caf0dcf2","IsNewSubSection":false,"SubSectionReplacement":""}],"TitleRelatedTo":"Action for contribution.","TitleSoAsTo":"","Deleted":false}],"TitleText":"","DisableControls":false,"Deleted":false,"RepealItems":[],"SectionBookmarkName":"bs_num_3_7470880fa"},{"SectionUUID":"5a239790-2a00-48b0-8ee0-63535fbaeb1f","SectionName":"code_section","SectionNumber":4,"SectionType":"code_section","CodeSections":[{"CodeSectionBookmarkName":"cs_T15C38N50_7dae20e7a","IsConstitutionSection":false,"Identity":"15-38-50","IsNew":false,"SubSections":[{"Level":1,"Identity":"T15C38N50S1","SubSectionBookmarkName":"ss_T15C38N50S1_lv1_dba580ca3","IsNewSubSection":false,"SubSectionReplacement":""},{"Level":1,"Identity":"T15C38N50S2","SubSectionBookmarkName":"ss_T15C38N50S2_lv1_d9c180aa3","IsNewSubSection":false,"SubSectionReplacement":""}],"TitleRelatedTo":"Effect of release, covenant not to sue, or not to enforce judgment.","TitleSoAsTo":"","Deleted":false}],"TitleText":"","DisableControls":false,"Deleted":false,"RepealItems":[],"SectionBookmarkName":"bs_num_4_49d98c894"},{"SectionUUID":"019d946a-efa6-42e3-8116-b6bbaa2d8798","SectionName":"Savings","SectionNumber":5,"SectionType":"new","CodeSections":[],"TitleText":"","DisableControls":false,"Deleted":false,"RepealItems":[],"SectionBookmarkName":"bs_num_5_f9c5fa2e9"},{"SectionUUID":"8f03ca95-8faa-4d43-a9c2-8afc498075bd","SectionName":"standard_eff_date_section","SectionNumber":6,"SectionType":"drafting_clause","CodeSections":[],"TitleText":"","DisableControls":false,"Deleted":false,"RepealItems":[],"SectionBookmarkName":"bs_num_6_lastsection"}]</T_BILL_T_SECTIONS>
  <T_BILL_T_SUBJECT>Contribution Among Tortfeasors</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7488</Characters>
  <Application>Microsoft Office Word</Application>
  <DocSecurity>0</DocSecurity>
  <Lines>126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2024-12-02T20:36:00Z</cp:lastPrinted>
  <dcterms:created xsi:type="dcterms:W3CDTF">2024-12-05T14:31:00Z</dcterms:created>
  <dcterms:modified xsi:type="dcterms:W3CDTF">2024-12-05T14:31:00Z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