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SR-0031CEM25.docx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Construction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c5d6bad13b0b4e1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Judiciary</w:t>
      </w:r>
      <w:r>
        <w:t xml:space="preserve"> (</w:t>
      </w:r>
      <w:hyperlink w:history="true" r:id="R735e754d983c4c15">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cfff1ec44f47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e455d886274142">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4042" w14:paraId="40FEFADA" w14:textId="05137597">
          <w:pPr>
            <w:pStyle w:val="scbilltitle"/>
          </w:pPr>
          <w:r>
            <w:t>TO AMEND THE SOUTH CAROLINA CODE OF LAWS BY AMENDING SECTION 32‑2‑10, RELATING TO HOLD HARMLESS CLAUSES IN CERTAIN CONSTRUCTION CONTRACTS, SO AS TO PROVIDE THAT CERTAIN INDEMNIFICATION PROVISIONS IN CONSTRUCTION AGREEMENTS AND DESIGN PROFESSIONAL AGREEMENTS ARE UNENFORCEABLE IN SOUTH CAROLINA AND TO DEFINE TERMS RELATED TO HOLD HARMLESS CLAUSES.</w:t>
          </w:r>
        </w:p>
      </w:sdtContent>
    </w:sdt>
    <w:bookmarkStart w:name="at_7d7bebf8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067b13b" w:id="2"/>
      <w:r w:rsidRPr="0094541D">
        <w:t>B</w:t>
      </w:r>
      <w:bookmarkEnd w:id="2"/>
      <w:r w:rsidRPr="0094541D">
        <w:t>e it enacted by the General Assembly of the State of South Carolina:</w:t>
      </w:r>
    </w:p>
    <w:p w:rsidR="005157B6" w:rsidP="005157B6" w:rsidRDefault="005157B6" w14:paraId="40531B18" w14:textId="77777777">
      <w:pPr>
        <w:pStyle w:val="scemptyline"/>
      </w:pPr>
    </w:p>
    <w:p w:rsidR="005157B6" w:rsidP="005157B6" w:rsidRDefault="005157B6" w14:paraId="13A742A4" w14:textId="77777777">
      <w:pPr>
        <w:pStyle w:val="scdirectionallanguage"/>
      </w:pPr>
      <w:bookmarkStart w:name="bs_num_1_5f11c4185" w:id="3"/>
      <w:r>
        <w:t>S</w:t>
      </w:r>
      <w:bookmarkEnd w:id="3"/>
      <w:r>
        <w:t>ECTION 1.</w:t>
      </w:r>
      <w:r>
        <w:tab/>
      </w:r>
      <w:bookmarkStart w:name="dl_26a90b687" w:id="4"/>
      <w:r>
        <w:t>S</w:t>
      </w:r>
      <w:bookmarkEnd w:id="4"/>
      <w:r>
        <w:t>ection 32‑2‑10 of the S.C. Code is amended to read:</w:t>
      </w:r>
    </w:p>
    <w:p w:rsidR="005157B6" w:rsidP="005157B6" w:rsidRDefault="005157B6" w14:paraId="28AC2233" w14:textId="77777777">
      <w:pPr>
        <w:pStyle w:val="sccodifiedsection"/>
      </w:pPr>
    </w:p>
    <w:p w:rsidR="00742BCD" w:rsidP="005157B6" w:rsidRDefault="005157B6" w14:paraId="1D5FDD49" w14:textId="77777777">
      <w:pPr>
        <w:pStyle w:val="sccodifiedsection"/>
      </w:pPr>
      <w:r>
        <w:tab/>
      </w:r>
      <w:bookmarkStart w:name="cs_T32C2N10_50749601e" w:id="5"/>
      <w:r>
        <w:t>S</w:t>
      </w:r>
      <w:bookmarkEnd w:id="5"/>
      <w:r>
        <w:t>ection 32‑2‑10.</w:t>
      </w:r>
      <w:r>
        <w:tab/>
      </w:r>
      <w:bookmarkStart w:name="ss_T32C2N10SA_lv1_df7641bb0" w:id="6"/>
      <w:r w:rsidR="00742BCD">
        <w:rPr>
          <w:rStyle w:val="scinsert"/>
        </w:rPr>
        <w:t>(</w:t>
      </w:r>
      <w:bookmarkEnd w:id="6"/>
      <w:r w:rsidR="00742BCD">
        <w:rPr>
          <w:rStyle w:val="scinsert"/>
        </w:rPr>
        <w:t>A) For the purposes of this section:</w:t>
      </w:r>
    </w:p>
    <w:p w:rsidR="00742BCD" w:rsidP="005157B6" w:rsidRDefault="00742BCD" w14:paraId="71565A0E" w14:textId="38BB0451">
      <w:pPr>
        <w:pStyle w:val="sccodifiedsection"/>
      </w:pPr>
      <w:r>
        <w:rPr>
          <w:rStyle w:val="scinsert"/>
        </w:rPr>
        <w:tab/>
      </w:r>
      <w:r>
        <w:rPr>
          <w:rStyle w:val="scinsert"/>
        </w:rPr>
        <w:tab/>
      </w:r>
      <w:bookmarkStart w:name="ss_T32C2N10S1_lv2_138ed4844" w:id="7"/>
      <w:r>
        <w:rPr>
          <w:rStyle w:val="scinsert"/>
        </w:rPr>
        <w:t>(</w:t>
      </w:r>
      <w:bookmarkEnd w:id="7"/>
      <w:r>
        <w:rPr>
          <w:rStyle w:val="scinsert"/>
        </w:rPr>
        <w:t>1) “</w:t>
      </w:r>
      <w:r w:rsidRPr="00742BCD">
        <w:rPr>
          <w:rStyle w:val="scinsert"/>
        </w:rPr>
        <w:t>Construction agreement</w:t>
      </w:r>
      <w:r>
        <w:rPr>
          <w:rStyle w:val="scinsert"/>
        </w:rPr>
        <w:t>”</w:t>
      </w:r>
      <w:r w:rsidRPr="00742BCD">
        <w:rPr>
          <w:rStyle w:val="scinsert"/>
        </w:rPr>
        <w:t xml:space="preserve"> means a promise, agreement, or contract concerning the design, planning, construction, alteration, repair, or maintenance of a building, structure, highway, road, appurtenance, or appliance, including moving, demolition, and excavation. A construction agreement may be a public or private agreement.</w:t>
      </w:r>
    </w:p>
    <w:p w:rsidR="00742BCD" w:rsidP="005157B6" w:rsidRDefault="00742BCD" w14:paraId="3327444D" w14:textId="4CB7FA25">
      <w:pPr>
        <w:pStyle w:val="sccodifiedsection"/>
      </w:pPr>
      <w:r>
        <w:rPr>
          <w:rStyle w:val="scinsert"/>
        </w:rPr>
        <w:tab/>
      </w:r>
      <w:r>
        <w:rPr>
          <w:rStyle w:val="scinsert"/>
        </w:rPr>
        <w:tab/>
      </w:r>
      <w:bookmarkStart w:name="ss_T32C2N10S2_lv2_c17eb4682" w:id="8"/>
      <w:r>
        <w:rPr>
          <w:rStyle w:val="scinsert"/>
        </w:rPr>
        <w:t>(</w:t>
      </w:r>
      <w:bookmarkEnd w:id="8"/>
      <w:r>
        <w:rPr>
          <w:rStyle w:val="scinsert"/>
        </w:rPr>
        <w:t>2) “</w:t>
      </w:r>
      <w:r w:rsidRPr="00742BCD">
        <w:rPr>
          <w:rStyle w:val="scinsert"/>
        </w:rPr>
        <w:t>Defend</w:t>
      </w:r>
      <w:r>
        <w:rPr>
          <w:rStyle w:val="scinsert"/>
        </w:rPr>
        <w:t>”</w:t>
      </w:r>
      <w:r w:rsidRPr="00742BCD">
        <w:rPr>
          <w:rStyle w:val="scinsert"/>
        </w:rPr>
        <w:t xml:space="preserve"> means to pay for or furnish counsel at a promisor’s expense to shield a promisee or promisee’s derivative parties from claims brought against the promisee or the promisee’s derivative parties by a third party in a court or tribunal, including forms of alternative dispute resolution required by law or contract, before a final determination of fault is reached.</w:t>
      </w:r>
    </w:p>
    <w:p w:rsidR="00742BCD" w:rsidP="005157B6" w:rsidRDefault="00742BCD" w14:paraId="5FC38780" w14:textId="1B519968">
      <w:pPr>
        <w:pStyle w:val="sccodifiedsection"/>
      </w:pPr>
      <w:r>
        <w:rPr>
          <w:rStyle w:val="scinsert"/>
        </w:rPr>
        <w:tab/>
      </w:r>
      <w:r>
        <w:rPr>
          <w:rStyle w:val="scinsert"/>
        </w:rPr>
        <w:tab/>
      </w:r>
      <w:bookmarkStart w:name="ss_T32C2N10S3_lv2_3388b8a0d" w:id="9"/>
      <w:r>
        <w:rPr>
          <w:rStyle w:val="scinsert"/>
        </w:rPr>
        <w:t>(</w:t>
      </w:r>
      <w:bookmarkEnd w:id="9"/>
      <w:r>
        <w:rPr>
          <w:rStyle w:val="scinsert"/>
        </w:rPr>
        <w:t>3) “</w:t>
      </w:r>
      <w:r w:rsidRPr="00742BCD">
        <w:rPr>
          <w:rStyle w:val="scinsert"/>
        </w:rPr>
        <w:t>Derivative parties</w:t>
      </w:r>
      <w:r>
        <w:rPr>
          <w:rStyle w:val="scinsert"/>
        </w:rPr>
        <w:t>”</w:t>
      </w:r>
      <w:r w:rsidRPr="00742BCD">
        <w:rPr>
          <w:rStyle w:val="scinsert"/>
        </w:rPr>
        <w:t xml:space="preserve"> means a party’s subcontractors, agents, employees, or other persons or entities for which the party may be liable or responsible as a result of any statutory duty, tort, or contractual duty.</w:t>
      </w:r>
    </w:p>
    <w:p w:rsidR="00742BCD" w:rsidP="005157B6" w:rsidRDefault="00742BCD" w14:paraId="559854B8" w14:textId="1AB50D17">
      <w:pPr>
        <w:pStyle w:val="sccodifiedsection"/>
      </w:pPr>
      <w:r>
        <w:rPr>
          <w:rStyle w:val="scinsert"/>
        </w:rPr>
        <w:tab/>
      </w:r>
      <w:r>
        <w:rPr>
          <w:rStyle w:val="scinsert"/>
        </w:rPr>
        <w:tab/>
      </w:r>
      <w:bookmarkStart w:name="ss_T32C2N10S4_lv2_675ee007c" w:id="10"/>
      <w:r>
        <w:rPr>
          <w:rStyle w:val="scinsert"/>
        </w:rPr>
        <w:t>(</w:t>
      </w:r>
      <w:bookmarkEnd w:id="10"/>
      <w:r>
        <w:rPr>
          <w:rStyle w:val="scinsert"/>
        </w:rPr>
        <w:t>4) “</w:t>
      </w:r>
      <w:r w:rsidRPr="00742BCD">
        <w:rPr>
          <w:rStyle w:val="scinsert"/>
        </w:rPr>
        <w:t>Design professional</w:t>
      </w:r>
      <w:r>
        <w:rPr>
          <w:rStyle w:val="scinsert"/>
        </w:rPr>
        <w:t>”</w:t>
      </w:r>
      <w:r w:rsidRPr="00742BCD">
        <w:rPr>
          <w:rStyle w:val="scinsert"/>
        </w:rPr>
        <w:t xml:space="preserve"> means a person licensed or registered pursuant to the provisions of Title 40 as an architect, a landscape architect, an engineer, or a surveyor.</w:t>
      </w:r>
    </w:p>
    <w:p w:rsidR="00742BCD" w:rsidP="005157B6" w:rsidRDefault="00742BCD" w14:paraId="27A7D6E9" w14:textId="21B80057">
      <w:pPr>
        <w:pStyle w:val="sccodifiedsection"/>
      </w:pPr>
      <w:r>
        <w:rPr>
          <w:rStyle w:val="scinsert"/>
        </w:rPr>
        <w:tab/>
      </w:r>
      <w:r>
        <w:rPr>
          <w:rStyle w:val="scinsert"/>
        </w:rPr>
        <w:tab/>
      </w:r>
      <w:bookmarkStart w:name="ss_T32C2N10S5_lv2_5809e6880" w:id="11"/>
      <w:r>
        <w:rPr>
          <w:rStyle w:val="scinsert"/>
        </w:rPr>
        <w:t>(</w:t>
      </w:r>
      <w:bookmarkEnd w:id="11"/>
      <w:r>
        <w:rPr>
          <w:rStyle w:val="scinsert"/>
        </w:rPr>
        <w:t>5) “</w:t>
      </w:r>
      <w:r w:rsidRPr="00742BCD">
        <w:rPr>
          <w:rStyle w:val="scinsert"/>
        </w:rPr>
        <w:t>Design professional agreement</w:t>
      </w:r>
      <w:r>
        <w:rPr>
          <w:rStyle w:val="scinsert"/>
        </w:rPr>
        <w:t>”</w:t>
      </w:r>
      <w:r w:rsidRPr="00742BCD">
        <w:rPr>
          <w:rStyle w:val="scinsert"/>
        </w:rPr>
        <w:t xml:space="preserve"> means any promise, agreement, or contract </w:t>
      </w:r>
      <w:r w:rsidR="00244042">
        <w:rPr>
          <w:rStyle w:val="scinsert"/>
        </w:rPr>
        <w:t xml:space="preserve">entered into </w:t>
      </w:r>
      <w:r w:rsidRPr="00742BCD">
        <w:rPr>
          <w:rStyle w:val="scinsert"/>
        </w:rPr>
        <w:t>with a design professional or firm for design professional services.</w:t>
      </w:r>
    </w:p>
    <w:p w:rsidR="00742BCD" w:rsidP="005157B6" w:rsidRDefault="00742BCD" w14:paraId="3C91BA4D" w14:textId="6A24523D">
      <w:pPr>
        <w:pStyle w:val="sccodifiedsection"/>
      </w:pPr>
      <w:r>
        <w:rPr>
          <w:rStyle w:val="scinsert"/>
        </w:rPr>
        <w:tab/>
      </w:r>
      <w:r>
        <w:rPr>
          <w:rStyle w:val="scinsert"/>
        </w:rPr>
        <w:tab/>
      </w:r>
      <w:bookmarkStart w:name="ss_T32C2N10S6_lv2_ea74cca1e" w:id="12"/>
      <w:r>
        <w:rPr>
          <w:rStyle w:val="scinsert"/>
        </w:rPr>
        <w:t>(</w:t>
      </w:r>
      <w:bookmarkEnd w:id="12"/>
      <w:r>
        <w:rPr>
          <w:rStyle w:val="scinsert"/>
        </w:rPr>
        <w:t>6) “</w:t>
      </w:r>
      <w:r w:rsidRPr="00742BCD">
        <w:rPr>
          <w:rStyle w:val="scinsert"/>
        </w:rPr>
        <w:t>Design professional services</w:t>
      </w:r>
      <w:r>
        <w:rPr>
          <w:rStyle w:val="scinsert"/>
        </w:rPr>
        <w:t>”</w:t>
      </w:r>
      <w:r w:rsidRPr="00742BCD">
        <w:rPr>
          <w:rStyle w:val="scinsert"/>
        </w:rPr>
        <w:t xml:space="preserve"> means work or a service performed by a design professional licensed or registered pursuant to the provisions of Title 40.</w:t>
      </w:r>
    </w:p>
    <w:p w:rsidR="00742BCD" w:rsidP="005157B6" w:rsidRDefault="00742BCD" w14:paraId="3495C9A1" w14:textId="1A4144C6">
      <w:pPr>
        <w:pStyle w:val="sccodifiedsection"/>
      </w:pPr>
      <w:r>
        <w:rPr>
          <w:rStyle w:val="scinsert"/>
        </w:rPr>
        <w:tab/>
      </w:r>
      <w:r>
        <w:rPr>
          <w:rStyle w:val="scinsert"/>
        </w:rPr>
        <w:tab/>
      </w:r>
      <w:bookmarkStart w:name="ss_T32C2N10S7_lv2_06c79d7d2" w:id="13"/>
      <w:r>
        <w:rPr>
          <w:rStyle w:val="scinsert"/>
        </w:rPr>
        <w:t>(</w:t>
      </w:r>
      <w:bookmarkEnd w:id="13"/>
      <w:r>
        <w:rPr>
          <w:rStyle w:val="scinsert"/>
        </w:rPr>
        <w:t>7) “Fault” means:</w:t>
      </w:r>
    </w:p>
    <w:p w:rsidR="00742BCD" w:rsidP="005157B6" w:rsidRDefault="00742BCD" w14:paraId="4BD0D2DB" w14:textId="0256DB2D">
      <w:pPr>
        <w:pStyle w:val="sccodifiedsection"/>
      </w:pPr>
      <w:r>
        <w:rPr>
          <w:rStyle w:val="scinsert"/>
        </w:rPr>
        <w:tab/>
      </w:r>
      <w:r>
        <w:rPr>
          <w:rStyle w:val="scinsert"/>
        </w:rPr>
        <w:tab/>
      </w:r>
      <w:r>
        <w:rPr>
          <w:rStyle w:val="scinsert"/>
        </w:rPr>
        <w:tab/>
      </w:r>
      <w:bookmarkStart w:name="ss_T32C2N10Sa_lv3_575c18737" w:id="14"/>
      <w:r>
        <w:rPr>
          <w:rStyle w:val="scinsert"/>
        </w:rPr>
        <w:t>(</w:t>
      </w:r>
      <w:bookmarkEnd w:id="14"/>
      <w:r>
        <w:rPr>
          <w:rStyle w:val="scinsert"/>
        </w:rPr>
        <w:t>a) a breach of contract;</w:t>
      </w:r>
    </w:p>
    <w:p w:rsidR="00742BCD" w:rsidP="005157B6" w:rsidRDefault="00742BCD" w14:paraId="521865A9" w14:textId="085E53E4">
      <w:pPr>
        <w:pStyle w:val="sccodifiedsection"/>
      </w:pPr>
      <w:r>
        <w:rPr>
          <w:rStyle w:val="scinsert"/>
        </w:rPr>
        <w:tab/>
      </w:r>
      <w:r>
        <w:rPr>
          <w:rStyle w:val="scinsert"/>
        </w:rPr>
        <w:tab/>
      </w:r>
      <w:r>
        <w:rPr>
          <w:rStyle w:val="scinsert"/>
        </w:rPr>
        <w:tab/>
      </w:r>
      <w:bookmarkStart w:name="ss_T32C2N10Sb_lv3_8427c7556" w:id="15"/>
      <w:r>
        <w:rPr>
          <w:rStyle w:val="scinsert"/>
        </w:rPr>
        <w:t>(</w:t>
      </w:r>
      <w:bookmarkEnd w:id="15"/>
      <w:r>
        <w:rPr>
          <w:rStyle w:val="scinsert"/>
        </w:rPr>
        <w:t xml:space="preserve">b) a </w:t>
      </w:r>
      <w:r w:rsidRPr="00742BCD">
        <w:rPr>
          <w:rStyle w:val="scinsert"/>
        </w:rPr>
        <w:t xml:space="preserve">negligent, reckless, or intentional act or omission constituting a tort under applicable </w:t>
      </w:r>
      <w:r w:rsidRPr="00742BCD">
        <w:rPr>
          <w:rStyle w:val="scinsert"/>
        </w:rPr>
        <w:lastRenderedPageBreak/>
        <w:t>statutes or common law; or</w:t>
      </w:r>
    </w:p>
    <w:p w:rsidR="00742BCD" w:rsidP="005157B6" w:rsidRDefault="00742BCD" w14:paraId="4924E317" w14:textId="522F2E7E">
      <w:pPr>
        <w:pStyle w:val="sccodifiedsection"/>
      </w:pPr>
      <w:r>
        <w:rPr>
          <w:rStyle w:val="scinsert"/>
        </w:rPr>
        <w:tab/>
      </w:r>
      <w:r>
        <w:rPr>
          <w:rStyle w:val="scinsert"/>
        </w:rPr>
        <w:tab/>
      </w:r>
      <w:r>
        <w:rPr>
          <w:rStyle w:val="scinsert"/>
        </w:rPr>
        <w:tab/>
      </w:r>
      <w:bookmarkStart w:name="ss_T32C2N10Sc_lv3_f40eaee68" w:id="16"/>
      <w:r>
        <w:rPr>
          <w:rStyle w:val="scinsert"/>
        </w:rPr>
        <w:t>(</w:t>
      </w:r>
      <w:bookmarkEnd w:id="16"/>
      <w:r>
        <w:rPr>
          <w:rStyle w:val="scinsert"/>
        </w:rPr>
        <w:t xml:space="preserve">c) </w:t>
      </w:r>
      <w:r w:rsidRPr="00742BCD">
        <w:rPr>
          <w:rStyle w:val="scinsert"/>
        </w:rPr>
        <w:t>a violation of applicable statutes or regulations.</w:t>
      </w:r>
    </w:p>
    <w:p w:rsidR="00742BCD" w:rsidP="005157B6" w:rsidRDefault="00742BCD" w14:paraId="280CFD71" w14:textId="5675A702">
      <w:pPr>
        <w:pStyle w:val="sccodifiedsection"/>
      </w:pPr>
      <w:r>
        <w:rPr>
          <w:rStyle w:val="scinsert"/>
        </w:rPr>
        <w:tab/>
      </w:r>
      <w:r>
        <w:rPr>
          <w:rStyle w:val="scinsert"/>
        </w:rPr>
        <w:tab/>
      </w:r>
      <w:bookmarkStart w:name="ss_T32C2N10S8_lv2_566ce95c4" w:id="17"/>
      <w:r>
        <w:rPr>
          <w:rStyle w:val="scinsert"/>
        </w:rPr>
        <w:t>(</w:t>
      </w:r>
      <w:bookmarkEnd w:id="17"/>
      <w:r>
        <w:rPr>
          <w:rStyle w:val="scinsert"/>
        </w:rPr>
        <w:t>8)</w:t>
      </w:r>
      <w:r w:rsidR="00731783">
        <w:rPr>
          <w:rStyle w:val="scinsert"/>
        </w:rPr>
        <w:t xml:space="preserve"> “</w:t>
      </w:r>
      <w:r w:rsidRPr="00731783" w:rsidR="00731783">
        <w:rPr>
          <w:rStyle w:val="scinsert"/>
        </w:rPr>
        <w:t>Firm</w:t>
      </w:r>
      <w:r w:rsidR="00731783">
        <w:rPr>
          <w:rStyle w:val="scinsert"/>
        </w:rPr>
        <w:t>”</w:t>
      </w:r>
      <w:r w:rsidRPr="00731783" w:rsidR="00731783">
        <w:rPr>
          <w:rStyle w:val="scinsert"/>
        </w:rPr>
        <w:t xml:space="preserve"> means a business entity functioning as a sole proprietorship, partnership, limited liability partnership, professional association, professional corporation, limited liability company, joint venture, or other legally constituted organization that offers or provides design services. For the purposes of this section, this term includes, but is not limited to, a firm through which the practice of providing design services requires a certificate of authorization.</w:t>
      </w:r>
    </w:p>
    <w:p w:rsidR="00742BCD" w:rsidP="005157B6" w:rsidRDefault="00742BCD" w14:paraId="490CF708" w14:textId="1F924744">
      <w:pPr>
        <w:pStyle w:val="sccodifiedsection"/>
      </w:pPr>
      <w:r>
        <w:rPr>
          <w:rStyle w:val="scinsert"/>
        </w:rPr>
        <w:tab/>
      </w:r>
      <w:r>
        <w:rPr>
          <w:rStyle w:val="scinsert"/>
        </w:rPr>
        <w:tab/>
      </w:r>
      <w:bookmarkStart w:name="ss_T32C2N10S9_lv2_05bd2a004" w:id="18"/>
      <w:r>
        <w:rPr>
          <w:rStyle w:val="scinsert"/>
        </w:rPr>
        <w:t>(</w:t>
      </w:r>
      <w:bookmarkEnd w:id="18"/>
      <w:r>
        <w:rPr>
          <w:rStyle w:val="scinsert"/>
        </w:rPr>
        <w:t>9)</w:t>
      </w:r>
      <w:r w:rsidR="00731783">
        <w:rPr>
          <w:rStyle w:val="scinsert"/>
        </w:rPr>
        <w:t xml:space="preserve"> “</w:t>
      </w:r>
      <w:r w:rsidRPr="00731783" w:rsidR="00731783">
        <w:rPr>
          <w:rStyle w:val="scinsert"/>
        </w:rPr>
        <w:t>Subcontractor</w:t>
      </w:r>
      <w:r w:rsidR="00731783">
        <w:rPr>
          <w:rStyle w:val="scinsert"/>
        </w:rPr>
        <w:t>”</w:t>
      </w:r>
      <w:r w:rsidRPr="00731783" w:rsidR="00731783">
        <w:rPr>
          <w:rStyle w:val="scinsert"/>
        </w:rPr>
        <w:t xml:space="preserve"> means a person or entity providing labor or material through a promisor for use on a project at issue in a construction agreement or design professional agreement.</w:t>
      </w:r>
    </w:p>
    <w:p w:rsidR="00742BCD" w:rsidP="005157B6" w:rsidRDefault="00742BCD" w14:paraId="3B9918EE" w14:textId="59E93C36">
      <w:pPr>
        <w:pStyle w:val="sccodifiedsection"/>
      </w:pPr>
      <w:r>
        <w:rPr>
          <w:rStyle w:val="scinsert"/>
        </w:rPr>
        <w:tab/>
      </w:r>
      <w:r>
        <w:rPr>
          <w:rStyle w:val="scinsert"/>
        </w:rPr>
        <w:tab/>
      </w:r>
      <w:bookmarkStart w:name="ss_T32C2N10S10_lv2_560a2b6e1" w:id="19"/>
      <w:r>
        <w:rPr>
          <w:rStyle w:val="scinsert"/>
        </w:rPr>
        <w:t>(</w:t>
      </w:r>
      <w:bookmarkEnd w:id="19"/>
      <w:r>
        <w:rPr>
          <w:rStyle w:val="scinsert"/>
        </w:rPr>
        <w:t>10)</w:t>
      </w:r>
      <w:r w:rsidR="00731783">
        <w:rPr>
          <w:rStyle w:val="scinsert"/>
        </w:rPr>
        <w:t xml:space="preserve"> “Proximate cause” means the result of a direct action and cause of loss of property that sets in motion a chain of events that is unbroken and causes damage, injury, and destruction with no other interference. The loss is the result of one event.</w:t>
      </w:r>
    </w:p>
    <w:p w:rsidR="005157B6" w:rsidDel="00731783" w:rsidP="005157B6" w:rsidRDefault="00742BCD" w14:paraId="5FF5169D" w14:textId="4B56F82C">
      <w:pPr>
        <w:pStyle w:val="sccodifiedsection"/>
      </w:pPr>
      <w:r>
        <w:rPr>
          <w:rStyle w:val="scinsert"/>
        </w:rPr>
        <w:tab/>
      </w:r>
      <w:bookmarkStart w:name="ss_T32C2N10SB_lv1_2e7910a36" w:id="20"/>
      <w:r>
        <w:rPr>
          <w:rStyle w:val="scinsert"/>
        </w:rPr>
        <w:t>(</w:t>
      </w:r>
      <w:bookmarkEnd w:id="20"/>
      <w:r>
        <w:rPr>
          <w:rStyle w:val="scinsert"/>
        </w:rPr>
        <w:t xml:space="preserve">B) </w:t>
      </w:r>
      <w:r w:rsidR="005157B6">
        <w:t xml:space="preserve">Notwithstanding any other provision of law, </w:t>
      </w:r>
      <w:r w:rsidR="00731783">
        <w:rPr>
          <w:rStyle w:val="scinsert"/>
        </w:rPr>
        <w:t xml:space="preserve">provisions in, </w:t>
      </w:r>
      <w:r w:rsidR="005157B6">
        <w:rPr>
          <w:rStyle w:val="scstrike"/>
        </w:rPr>
        <w:t xml:space="preserve">a promise or agreement </w:t>
      </w:r>
      <w:r w:rsidR="00731783">
        <w:rPr>
          <w:rStyle w:val="scinsert"/>
        </w:rPr>
        <w:t xml:space="preserve"> or </w:t>
      </w:r>
      <w:r w:rsidR="005157B6">
        <w:t>in connection with</w:t>
      </w:r>
      <w:r w:rsidR="00731783">
        <w:rPr>
          <w:rStyle w:val="scinsert"/>
        </w:rPr>
        <w:t>, a construction agreement</w:t>
      </w:r>
      <w:r w:rsidR="00244042">
        <w:rPr>
          <w:rStyle w:val="scinsert"/>
        </w:rPr>
        <w:t>,</w:t>
      </w:r>
      <w:r w:rsidR="005157B6">
        <w:t xml:space="preserve"> </w:t>
      </w:r>
      <w:r w:rsidR="005157B6">
        <w:rPr>
          <w:rStyle w:val="scstrike"/>
        </w:rPr>
        <w:t>the</w:t>
      </w:r>
      <w:r w:rsidR="005157B6">
        <w:t xml:space="preserve"> design</w:t>
      </w:r>
      <w:r w:rsidR="00731783">
        <w:rPr>
          <w:rStyle w:val="scinsert"/>
        </w:rPr>
        <w:t xml:space="preserve"> professional agreement</w:t>
      </w:r>
      <w:r w:rsidR="005157B6">
        <w:t>,</w:t>
      </w:r>
      <w:r w:rsidR="005157B6">
        <w:rPr>
          <w:rStyle w:val="scstrike"/>
        </w:rPr>
        <w:t xml:space="preserve"> planning, construction, alteration, repair or maintenance of a building, structure, highway, road, appurtenance or appliance, including moving, demolition and excavating, purporting to indemnify the promisee, its independent contractors, agents, employees, or indemnitees</w:t>
      </w:r>
      <w:r w:rsidR="00731783">
        <w:rPr>
          <w:rStyle w:val="scinsert"/>
        </w:rPr>
        <w:t xml:space="preserve"> or the promisee’s derivative parties</w:t>
      </w:r>
      <w:r w:rsidR="005157B6">
        <w:t xml:space="preserve"> against liability for damages arising out of bodily injury or property damage proximately caused by or resulting from the sole negligence of the promisee</w:t>
      </w:r>
      <w:r w:rsidR="005157B6">
        <w:rPr>
          <w:rStyle w:val="scstrike"/>
        </w:rPr>
        <w:t>, its independent contractors, agents, employees, or indemnitees</w:t>
      </w:r>
      <w:r w:rsidR="00731783">
        <w:rPr>
          <w:rStyle w:val="scinsert"/>
        </w:rPr>
        <w:t xml:space="preserve"> or the promisse</w:t>
      </w:r>
      <w:r w:rsidR="00B03A04">
        <w:rPr>
          <w:rStyle w:val="scinsert"/>
        </w:rPr>
        <w:t>e</w:t>
      </w:r>
      <w:r w:rsidR="00731783">
        <w:rPr>
          <w:rStyle w:val="scinsert"/>
        </w:rPr>
        <w:t>’s derivative parties</w:t>
      </w:r>
      <w:r w:rsidR="005157B6">
        <w:t xml:space="preserve"> is against public policy and unenforceable.  Nothing contained in this </w:t>
      </w:r>
      <w:r w:rsidR="005157B6">
        <w:rPr>
          <w:rStyle w:val="scstrike"/>
        </w:rPr>
        <w:t xml:space="preserve">section </w:t>
      </w:r>
      <w:r w:rsidR="00244042">
        <w:rPr>
          <w:rStyle w:val="scinsert"/>
        </w:rPr>
        <w:t xml:space="preserve">subsection </w:t>
      </w:r>
      <w:r w:rsidR="005157B6">
        <w:t xml:space="preserve">shall </w:t>
      </w:r>
      <w:r w:rsidR="005157B6">
        <w:rPr>
          <w:rStyle w:val="scstrike"/>
        </w:rPr>
        <w:t>affect</w:t>
      </w:r>
      <w:r w:rsidR="00731783">
        <w:rPr>
          <w:rStyle w:val="scinsert"/>
        </w:rPr>
        <w:t>prohibit</w:t>
      </w:r>
      <w:r w:rsidR="005157B6">
        <w:t xml:space="preserve"> a promise or agreement whereby the promisor shall indemnify or hold harmless the promisee or the promisee's </w:t>
      </w:r>
      <w:r w:rsidR="005157B6">
        <w:rPr>
          <w:rStyle w:val="scstrike"/>
        </w:rPr>
        <w:t>independent contractors, agents, employees or indemnitees</w:t>
      </w:r>
      <w:r w:rsidR="00731783">
        <w:rPr>
          <w:rStyle w:val="scinsert"/>
        </w:rPr>
        <w:t xml:space="preserve"> </w:t>
      </w:r>
      <w:r w:rsidR="00B03A04">
        <w:rPr>
          <w:rStyle w:val="scinsert"/>
        </w:rPr>
        <w:t xml:space="preserve">derivative </w:t>
      </w:r>
      <w:r w:rsidR="00731783">
        <w:rPr>
          <w:rStyle w:val="scinsert"/>
        </w:rPr>
        <w:t>parties</w:t>
      </w:r>
      <w:r w:rsidR="005157B6">
        <w:t xml:space="preserve"> against liability for damages resulting from the </w:t>
      </w:r>
      <w:r w:rsidR="00731783">
        <w:rPr>
          <w:rStyle w:val="scinsert"/>
        </w:rPr>
        <w:t xml:space="preserve">sole </w:t>
      </w:r>
      <w:r w:rsidR="005157B6">
        <w:t>negligence</w:t>
      </w:r>
      <w:r w:rsidR="005157B6">
        <w:rPr>
          <w:rStyle w:val="scstrike"/>
        </w:rPr>
        <w:t>, in whole or in part,</w:t>
      </w:r>
      <w:r w:rsidR="005157B6">
        <w:t xml:space="preserve"> of the promisor, its agents</w:t>
      </w:r>
      <w:r w:rsidR="00731783">
        <w:rPr>
          <w:rStyle w:val="scinsert"/>
        </w:rPr>
        <w:t>,</w:t>
      </w:r>
      <w:r w:rsidR="005157B6">
        <w:t xml:space="preserve"> or </w:t>
      </w:r>
      <w:r w:rsidR="00731783">
        <w:rPr>
          <w:rStyle w:val="scinsert"/>
        </w:rPr>
        <w:t xml:space="preserve">its </w:t>
      </w:r>
      <w:r w:rsidR="005157B6">
        <w:t>employees.</w:t>
      </w:r>
      <w:r w:rsidR="005157B6">
        <w:rPr>
          <w:rStyle w:val="scstrike"/>
        </w:rPr>
        <w:t xml:space="preserve">  The provisions of this section shall not affect any insurance contract or workers' compensation agreements;  nor shall it apply to any electric utility, electric cooperative, common carriers by rail and their corporate affiliates or the South Carolina Public Service Authority.</w:t>
      </w:r>
    </w:p>
    <w:p w:rsidR="00731783" w:rsidP="005157B6" w:rsidRDefault="00731783" w14:paraId="6025EED1" w14:textId="7F6D4B2C">
      <w:pPr>
        <w:pStyle w:val="sccodifiedsection"/>
      </w:pPr>
      <w:r>
        <w:rPr>
          <w:rStyle w:val="scinsert"/>
        </w:rPr>
        <w:tab/>
      </w:r>
      <w:bookmarkStart w:name="ss_T32C2N10SC_lv1_267748894" w:id="21"/>
      <w:r>
        <w:rPr>
          <w:rStyle w:val="scinsert"/>
        </w:rPr>
        <w:t>(</w:t>
      </w:r>
      <w:bookmarkEnd w:id="21"/>
      <w:r>
        <w:rPr>
          <w:rStyle w:val="scinsert"/>
        </w:rPr>
        <w:t xml:space="preserve">C) </w:t>
      </w:r>
      <w:r w:rsidRPr="00731783">
        <w:rPr>
          <w:rStyle w:val="scinsert"/>
        </w:rPr>
        <w:t>Provisions in, or in connection with, a construction agreement or design professional agreement purporting to require a promisor to indemnify or hold harmless a promisee, the promisee’s derivative parties, or any other person against losses, damages, or expenses are against public policy and unenforceable unless the fault of the promisor or its derivative parties is a proximate cause of the loss, damage, or expense indemnified.</w:t>
      </w:r>
    </w:p>
    <w:p w:rsidR="00731783" w:rsidP="005157B6" w:rsidRDefault="00731783" w14:paraId="75758F89" w14:textId="092982B3">
      <w:pPr>
        <w:pStyle w:val="sccodifiedsection"/>
      </w:pPr>
      <w:r>
        <w:rPr>
          <w:rStyle w:val="scinsert"/>
        </w:rPr>
        <w:tab/>
      </w:r>
      <w:bookmarkStart w:name="ss_T32C2N10SD_lv1_9581de188" w:id="22"/>
      <w:r>
        <w:rPr>
          <w:rStyle w:val="scinsert"/>
        </w:rPr>
        <w:t>(</w:t>
      </w:r>
      <w:bookmarkEnd w:id="22"/>
      <w:r>
        <w:rPr>
          <w:rStyle w:val="scinsert"/>
        </w:rPr>
        <w:t xml:space="preserve">D) </w:t>
      </w:r>
      <w:r w:rsidRPr="00731783">
        <w:rPr>
          <w:rStyle w:val="scinsert"/>
        </w:rPr>
        <w:t>Provisions in, or in connection with, a construction agreement that include design professional services or a design professional agreement purporting to require a design professional to defend a promisee, the promisee’s derivative parties, or any other person or entity against liability, claims for damages, or expenses, including attorney fees, proximately caused or allegedly caused by the professional negligence of the promisor, the promisee, or their derivative parties, are against public policy and unenforceable, whether the claim is alleged or brought in tort or contract.</w:t>
      </w:r>
    </w:p>
    <w:p w:rsidR="00731783" w:rsidP="005157B6" w:rsidRDefault="00731783" w14:paraId="1D64E5AC" w14:textId="5C98ADD8">
      <w:pPr>
        <w:pStyle w:val="sccodifiedsection"/>
      </w:pPr>
      <w:r>
        <w:rPr>
          <w:rStyle w:val="scinsert"/>
        </w:rPr>
        <w:tab/>
      </w:r>
      <w:bookmarkStart w:name="ss_T32C2N10SE_lv1_ee4b0f763" w:id="23"/>
      <w:r>
        <w:rPr>
          <w:rStyle w:val="scinsert"/>
        </w:rPr>
        <w:t>(</w:t>
      </w:r>
      <w:bookmarkEnd w:id="23"/>
      <w:r>
        <w:rPr>
          <w:rStyle w:val="scinsert"/>
        </w:rPr>
        <w:t xml:space="preserve">E) </w:t>
      </w:r>
      <w:r w:rsidRPr="00731783">
        <w:rPr>
          <w:rStyle w:val="scinsert"/>
        </w:rPr>
        <w:t>Nothing in this section shall be interpreted to exclude from any indemnity or hold harmless provision that is enforceable under subsections (B) or (C) of this section attorney fees, litigation</w:t>
      </w:r>
      <w:r w:rsidR="00244042">
        <w:rPr>
          <w:rStyle w:val="scinsert"/>
        </w:rPr>
        <w:t>,</w:t>
      </w:r>
      <w:r w:rsidRPr="00731783">
        <w:rPr>
          <w:rStyle w:val="scinsert"/>
        </w:rPr>
        <w:t xml:space="preserve"> or arbitration expenses, or court costs actually incurred by the promisee when guarding against third party claims alleged in a court, tribunal, or alternative dispute resolution procedure required of the promisee by law or by contract, if the fault of the promisor or its derivative parties is a proximate cause of the attorney fees, litigation</w:t>
      </w:r>
      <w:r w:rsidR="00244042">
        <w:rPr>
          <w:rStyle w:val="scinsert"/>
        </w:rPr>
        <w:t>,</w:t>
      </w:r>
      <w:r w:rsidRPr="00731783">
        <w:rPr>
          <w:rStyle w:val="scinsert"/>
        </w:rPr>
        <w:t xml:space="preserve"> or arbitration expenses, or court costs to be indemnified.</w:t>
      </w:r>
    </w:p>
    <w:p w:rsidR="00731783" w:rsidP="005157B6" w:rsidRDefault="00731783" w14:paraId="2EE6F0D5" w14:textId="654E4B1B">
      <w:pPr>
        <w:pStyle w:val="sccodifiedsection"/>
      </w:pPr>
      <w:r>
        <w:rPr>
          <w:rStyle w:val="scinsert"/>
        </w:rPr>
        <w:tab/>
      </w:r>
      <w:bookmarkStart w:name="ss_T32C2N10SF_lv1_2cc788b82" w:id="24"/>
      <w:r>
        <w:rPr>
          <w:rStyle w:val="scinsert"/>
        </w:rPr>
        <w:t>(</w:t>
      </w:r>
      <w:bookmarkEnd w:id="24"/>
      <w:r>
        <w:rPr>
          <w:rStyle w:val="scinsert"/>
        </w:rPr>
        <w:t>F) This section shall not apply to:</w:t>
      </w:r>
    </w:p>
    <w:p w:rsidR="00731783" w:rsidP="005157B6" w:rsidRDefault="00731783" w14:paraId="6B480776" w14:textId="08D324D3">
      <w:pPr>
        <w:pStyle w:val="sccodifiedsection"/>
      </w:pPr>
      <w:r>
        <w:rPr>
          <w:rStyle w:val="scinsert"/>
        </w:rPr>
        <w:tab/>
      </w:r>
      <w:r>
        <w:rPr>
          <w:rStyle w:val="scinsert"/>
        </w:rPr>
        <w:tab/>
      </w:r>
      <w:bookmarkStart w:name="ss_T32C2N10S1_lv2_f3549ce86" w:id="25"/>
      <w:r>
        <w:rPr>
          <w:rStyle w:val="scinsert"/>
        </w:rPr>
        <w:t>(</w:t>
      </w:r>
      <w:bookmarkEnd w:id="25"/>
      <w:r>
        <w:rPr>
          <w:rStyle w:val="scinsert"/>
        </w:rPr>
        <w:t xml:space="preserve">1) </w:t>
      </w:r>
      <w:r w:rsidRPr="00731783">
        <w:rPr>
          <w:rStyle w:val="scinsert"/>
        </w:rPr>
        <w:t>an insurance agreement or a workers’ compensation agreement;</w:t>
      </w:r>
    </w:p>
    <w:p w:rsidR="00731783" w:rsidP="005157B6" w:rsidRDefault="00731783" w14:paraId="68E843FC" w14:textId="1ADE632F">
      <w:pPr>
        <w:pStyle w:val="sccodifiedsection"/>
      </w:pPr>
      <w:r>
        <w:rPr>
          <w:rStyle w:val="scinsert"/>
        </w:rPr>
        <w:tab/>
      </w:r>
      <w:r>
        <w:rPr>
          <w:rStyle w:val="scinsert"/>
        </w:rPr>
        <w:tab/>
      </w:r>
      <w:bookmarkStart w:name="ss_T32C2N10S2_lv2_74c3e224d" w:id="26"/>
      <w:r>
        <w:rPr>
          <w:rStyle w:val="scinsert"/>
        </w:rPr>
        <w:t>(</w:t>
      </w:r>
      <w:bookmarkEnd w:id="26"/>
      <w:r>
        <w:rPr>
          <w:rStyle w:val="scinsert"/>
        </w:rPr>
        <w:t xml:space="preserve">2) </w:t>
      </w:r>
      <w:r w:rsidRPr="00731783">
        <w:rPr>
          <w:rStyle w:val="scinsert"/>
        </w:rPr>
        <w:t>an electric utility, an electric cooperative, common carriers by rail and their corporate affiliates, or the South Carolina Public Service Authority; or</w:t>
      </w:r>
    </w:p>
    <w:p w:rsidR="00731783" w:rsidP="005157B6" w:rsidRDefault="00731783" w14:paraId="5C1D35F1" w14:textId="1BF9DD30">
      <w:pPr>
        <w:pStyle w:val="sccodifiedsection"/>
      </w:pPr>
      <w:r>
        <w:rPr>
          <w:rStyle w:val="scinsert"/>
        </w:rPr>
        <w:tab/>
      </w:r>
      <w:r>
        <w:rPr>
          <w:rStyle w:val="scinsert"/>
        </w:rPr>
        <w:tab/>
      </w:r>
      <w:bookmarkStart w:name="ss_T32C2N10S3_lv2_a21556359" w:id="27"/>
      <w:r>
        <w:rPr>
          <w:rStyle w:val="scinsert"/>
        </w:rPr>
        <w:t>(</w:t>
      </w:r>
      <w:bookmarkEnd w:id="27"/>
      <w:r>
        <w:rPr>
          <w:rStyle w:val="scinsert"/>
        </w:rPr>
        <w:t>3) claims relating to liens or bonds.</w:t>
      </w:r>
    </w:p>
    <w:p w:rsidRPr="00DF3B44" w:rsidR="007E06BB" w:rsidP="00731783" w:rsidRDefault="007E06BB" w14:paraId="3D8F1FED" w14:textId="4F43327F">
      <w:pPr>
        <w:pStyle w:val="scemptyline"/>
      </w:pPr>
    </w:p>
    <w:p w:rsidRPr="00DF3B44" w:rsidR="007A10F1" w:rsidP="007A10F1" w:rsidRDefault="00E27805" w14:paraId="0E9393B4" w14:textId="3A662836">
      <w:pPr>
        <w:pStyle w:val="scnoncodifiedsection"/>
      </w:pPr>
      <w:bookmarkStart w:name="bs_num_2_lastsection" w:id="28"/>
      <w:bookmarkStart w:name="eff_date_section" w:id="29"/>
      <w:r w:rsidRPr="00DF3B44">
        <w:t>S</w:t>
      </w:r>
      <w:bookmarkEnd w:id="28"/>
      <w:r w:rsidRPr="00DF3B44">
        <w:t>ECTION 2.</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64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BFAECB" w:rsidR="00685035" w:rsidRPr="007B4AF7" w:rsidRDefault="002013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0EA8">
              <w:rPr>
                <w:noProof/>
              </w:rPr>
              <w:t>SR-0031CEM25.docx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AC1"/>
    <w:rsid w:val="00044B84"/>
    <w:rsid w:val="000479D0"/>
    <w:rsid w:val="0006464F"/>
    <w:rsid w:val="00066B54"/>
    <w:rsid w:val="00072FCD"/>
    <w:rsid w:val="00074A4F"/>
    <w:rsid w:val="00077B65"/>
    <w:rsid w:val="000A3C25"/>
    <w:rsid w:val="000B372E"/>
    <w:rsid w:val="000B4C02"/>
    <w:rsid w:val="000B5B4A"/>
    <w:rsid w:val="000B7FE1"/>
    <w:rsid w:val="000C1AAA"/>
    <w:rsid w:val="000C3E88"/>
    <w:rsid w:val="000C46B9"/>
    <w:rsid w:val="000C58E4"/>
    <w:rsid w:val="000C6F9A"/>
    <w:rsid w:val="000D2F44"/>
    <w:rsid w:val="000D33E4"/>
    <w:rsid w:val="000E578A"/>
    <w:rsid w:val="000F2250"/>
    <w:rsid w:val="0010329A"/>
    <w:rsid w:val="00105756"/>
    <w:rsid w:val="001164F9"/>
    <w:rsid w:val="0011719C"/>
    <w:rsid w:val="00140049"/>
    <w:rsid w:val="00155F89"/>
    <w:rsid w:val="00171601"/>
    <w:rsid w:val="001730EB"/>
    <w:rsid w:val="00173276"/>
    <w:rsid w:val="00176122"/>
    <w:rsid w:val="0019025B"/>
    <w:rsid w:val="00192AF7"/>
    <w:rsid w:val="00197366"/>
    <w:rsid w:val="001A136C"/>
    <w:rsid w:val="001A370A"/>
    <w:rsid w:val="001B6DA2"/>
    <w:rsid w:val="001C25EC"/>
    <w:rsid w:val="001F2A41"/>
    <w:rsid w:val="001F313F"/>
    <w:rsid w:val="001F331D"/>
    <w:rsid w:val="001F394C"/>
    <w:rsid w:val="00201341"/>
    <w:rsid w:val="002038AA"/>
    <w:rsid w:val="002114C8"/>
    <w:rsid w:val="0021166F"/>
    <w:rsid w:val="002162DF"/>
    <w:rsid w:val="002174EB"/>
    <w:rsid w:val="00230038"/>
    <w:rsid w:val="00233975"/>
    <w:rsid w:val="00236D73"/>
    <w:rsid w:val="00244042"/>
    <w:rsid w:val="00246535"/>
    <w:rsid w:val="00257F60"/>
    <w:rsid w:val="002625EA"/>
    <w:rsid w:val="00262AC5"/>
    <w:rsid w:val="00264AE9"/>
    <w:rsid w:val="00271E44"/>
    <w:rsid w:val="00275AE6"/>
    <w:rsid w:val="002836D8"/>
    <w:rsid w:val="002A7989"/>
    <w:rsid w:val="002B02F3"/>
    <w:rsid w:val="002C3463"/>
    <w:rsid w:val="002D266D"/>
    <w:rsid w:val="002D2B9B"/>
    <w:rsid w:val="002D3540"/>
    <w:rsid w:val="002D5B3D"/>
    <w:rsid w:val="002D64A1"/>
    <w:rsid w:val="002D7447"/>
    <w:rsid w:val="002E315A"/>
    <w:rsid w:val="002E4F8C"/>
    <w:rsid w:val="002F560C"/>
    <w:rsid w:val="002F5847"/>
    <w:rsid w:val="003009FC"/>
    <w:rsid w:val="0030425A"/>
    <w:rsid w:val="003421F1"/>
    <w:rsid w:val="0034279C"/>
    <w:rsid w:val="00354F64"/>
    <w:rsid w:val="003559A1"/>
    <w:rsid w:val="00361563"/>
    <w:rsid w:val="00371D36"/>
    <w:rsid w:val="003723F2"/>
    <w:rsid w:val="00373E17"/>
    <w:rsid w:val="003775E6"/>
    <w:rsid w:val="00381998"/>
    <w:rsid w:val="00394F0C"/>
    <w:rsid w:val="003A5F1C"/>
    <w:rsid w:val="003B3E6C"/>
    <w:rsid w:val="003B56A7"/>
    <w:rsid w:val="003C3E2E"/>
    <w:rsid w:val="003D4A3C"/>
    <w:rsid w:val="003D5253"/>
    <w:rsid w:val="003D55B2"/>
    <w:rsid w:val="003E0033"/>
    <w:rsid w:val="003E5452"/>
    <w:rsid w:val="003E7165"/>
    <w:rsid w:val="003E7FF6"/>
    <w:rsid w:val="004046B5"/>
    <w:rsid w:val="00406F27"/>
    <w:rsid w:val="004107FF"/>
    <w:rsid w:val="00413DF6"/>
    <w:rsid w:val="004141B8"/>
    <w:rsid w:val="004203B9"/>
    <w:rsid w:val="004225F6"/>
    <w:rsid w:val="00432135"/>
    <w:rsid w:val="00434CAB"/>
    <w:rsid w:val="00446987"/>
    <w:rsid w:val="00446D28"/>
    <w:rsid w:val="004507FD"/>
    <w:rsid w:val="00466CD0"/>
    <w:rsid w:val="00473583"/>
    <w:rsid w:val="00477F32"/>
    <w:rsid w:val="00481850"/>
    <w:rsid w:val="004851A0"/>
    <w:rsid w:val="0048627F"/>
    <w:rsid w:val="004932AB"/>
    <w:rsid w:val="0049351A"/>
    <w:rsid w:val="00494BEF"/>
    <w:rsid w:val="004954C1"/>
    <w:rsid w:val="004A5512"/>
    <w:rsid w:val="004A6BE5"/>
    <w:rsid w:val="004B0C18"/>
    <w:rsid w:val="004C1A04"/>
    <w:rsid w:val="004C20BC"/>
    <w:rsid w:val="004C5C9A"/>
    <w:rsid w:val="004D1442"/>
    <w:rsid w:val="004D3DCB"/>
    <w:rsid w:val="004E1946"/>
    <w:rsid w:val="004E66E9"/>
    <w:rsid w:val="004E7DDE"/>
    <w:rsid w:val="004F0090"/>
    <w:rsid w:val="004F172C"/>
    <w:rsid w:val="0050024B"/>
    <w:rsid w:val="005002ED"/>
    <w:rsid w:val="00500DBC"/>
    <w:rsid w:val="0050727C"/>
    <w:rsid w:val="00507318"/>
    <w:rsid w:val="005102BE"/>
    <w:rsid w:val="00512791"/>
    <w:rsid w:val="005157B6"/>
    <w:rsid w:val="00515DE8"/>
    <w:rsid w:val="00523F7F"/>
    <w:rsid w:val="00524D54"/>
    <w:rsid w:val="0054011A"/>
    <w:rsid w:val="00543C7C"/>
    <w:rsid w:val="0054531B"/>
    <w:rsid w:val="00546C24"/>
    <w:rsid w:val="005476FF"/>
    <w:rsid w:val="005516F6"/>
    <w:rsid w:val="00552842"/>
    <w:rsid w:val="00554E89"/>
    <w:rsid w:val="00564B58"/>
    <w:rsid w:val="00572281"/>
    <w:rsid w:val="005801DD"/>
    <w:rsid w:val="00592A40"/>
    <w:rsid w:val="005961FB"/>
    <w:rsid w:val="005A28BC"/>
    <w:rsid w:val="005A5377"/>
    <w:rsid w:val="005B7817"/>
    <w:rsid w:val="005C06C8"/>
    <w:rsid w:val="005C23D7"/>
    <w:rsid w:val="005C40EB"/>
    <w:rsid w:val="005D02B4"/>
    <w:rsid w:val="005D3013"/>
    <w:rsid w:val="005D7869"/>
    <w:rsid w:val="005E1E50"/>
    <w:rsid w:val="005E2B9C"/>
    <w:rsid w:val="005E3332"/>
    <w:rsid w:val="005F76B0"/>
    <w:rsid w:val="00604429"/>
    <w:rsid w:val="006067B0"/>
    <w:rsid w:val="00606A8B"/>
    <w:rsid w:val="00611EBA"/>
    <w:rsid w:val="006213A8"/>
    <w:rsid w:val="00623BEA"/>
    <w:rsid w:val="00626E93"/>
    <w:rsid w:val="006347E9"/>
    <w:rsid w:val="00640C87"/>
    <w:rsid w:val="006454BB"/>
    <w:rsid w:val="00657CF4"/>
    <w:rsid w:val="00661463"/>
    <w:rsid w:val="0066260E"/>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EAC"/>
    <w:rsid w:val="00731783"/>
    <w:rsid w:val="00737F19"/>
    <w:rsid w:val="00742BCD"/>
    <w:rsid w:val="007453D5"/>
    <w:rsid w:val="00782BF8"/>
    <w:rsid w:val="00783C75"/>
    <w:rsid w:val="007849D9"/>
    <w:rsid w:val="00787433"/>
    <w:rsid w:val="007A10F1"/>
    <w:rsid w:val="007A3D50"/>
    <w:rsid w:val="007B2D29"/>
    <w:rsid w:val="007B412F"/>
    <w:rsid w:val="007B4AF7"/>
    <w:rsid w:val="007B4DBF"/>
    <w:rsid w:val="007C5458"/>
    <w:rsid w:val="007D2C67"/>
    <w:rsid w:val="007E06BB"/>
    <w:rsid w:val="007E2F30"/>
    <w:rsid w:val="007F50D1"/>
    <w:rsid w:val="008026DA"/>
    <w:rsid w:val="00805B1C"/>
    <w:rsid w:val="00816D52"/>
    <w:rsid w:val="008265FA"/>
    <w:rsid w:val="00831048"/>
    <w:rsid w:val="00834272"/>
    <w:rsid w:val="00846D95"/>
    <w:rsid w:val="008625C1"/>
    <w:rsid w:val="0086687F"/>
    <w:rsid w:val="0087671D"/>
    <w:rsid w:val="008806F9"/>
    <w:rsid w:val="0088752C"/>
    <w:rsid w:val="00887957"/>
    <w:rsid w:val="008A57E3"/>
    <w:rsid w:val="008B5BF4"/>
    <w:rsid w:val="008C0CEE"/>
    <w:rsid w:val="008C1B18"/>
    <w:rsid w:val="008D46EC"/>
    <w:rsid w:val="008E0E25"/>
    <w:rsid w:val="008E4FBD"/>
    <w:rsid w:val="008E61A1"/>
    <w:rsid w:val="009031EF"/>
    <w:rsid w:val="009061E4"/>
    <w:rsid w:val="00917EA3"/>
    <w:rsid w:val="00917EE0"/>
    <w:rsid w:val="00921C89"/>
    <w:rsid w:val="009230D3"/>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2CD"/>
    <w:rsid w:val="009A0DCE"/>
    <w:rsid w:val="009A22CD"/>
    <w:rsid w:val="009A3E4B"/>
    <w:rsid w:val="009B35FD"/>
    <w:rsid w:val="009B6815"/>
    <w:rsid w:val="009D2967"/>
    <w:rsid w:val="009D3C2B"/>
    <w:rsid w:val="009E4191"/>
    <w:rsid w:val="009F2AB1"/>
    <w:rsid w:val="009F4FAF"/>
    <w:rsid w:val="009F68F1"/>
    <w:rsid w:val="00A04529"/>
    <w:rsid w:val="00A04F2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4F3"/>
    <w:rsid w:val="00A92F6F"/>
    <w:rsid w:val="00A97523"/>
    <w:rsid w:val="00AA6ECB"/>
    <w:rsid w:val="00AA7824"/>
    <w:rsid w:val="00AB0FA3"/>
    <w:rsid w:val="00AB73BF"/>
    <w:rsid w:val="00AC0392"/>
    <w:rsid w:val="00AC1EEC"/>
    <w:rsid w:val="00AC335C"/>
    <w:rsid w:val="00AC463E"/>
    <w:rsid w:val="00AD3BE2"/>
    <w:rsid w:val="00AD3E3D"/>
    <w:rsid w:val="00AE1EE4"/>
    <w:rsid w:val="00AE36EC"/>
    <w:rsid w:val="00AE7406"/>
    <w:rsid w:val="00AF1688"/>
    <w:rsid w:val="00AF46E6"/>
    <w:rsid w:val="00AF4E07"/>
    <w:rsid w:val="00AF5139"/>
    <w:rsid w:val="00B03A04"/>
    <w:rsid w:val="00B03A96"/>
    <w:rsid w:val="00B06EDA"/>
    <w:rsid w:val="00B1161F"/>
    <w:rsid w:val="00B11661"/>
    <w:rsid w:val="00B26C81"/>
    <w:rsid w:val="00B32B4D"/>
    <w:rsid w:val="00B35C43"/>
    <w:rsid w:val="00B4137E"/>
    <w:rsid w:val="00B54DF7"/>
    <w:rsid w:val="00B56223"/>
    <w:rsid w:val="00B56E79"/>
    <w:rsid w:val="00B57AA7"/>
    <w:rsid w:val="00B6066E"/>
    <w:rsid w:val="00B637AA"/>
    <w:rsid w:val="00B63BE2"/>
    <w:rsid w:val="00B70D5E"/>
    <w:rsid w:val="00B7592C"/>
    <w:rsid w:val="00B809D3"/>
    <w:rsid w:val="00B84B66"/>
    <w:rsid w:val="00B85475"/>
    <w:rsid w:val="00B9090A"/>
    <w:rsid w:val="00B92196"/>
    <w:rsid w:val="00B9228D"/>
    <w:rsid w:val="00B929EC"/>
    <w:rsid w:val="00BB0725"/>
    <w:rsid w:val="00BC408A"/>
    <w:rsid w:val="00BC5023"/>
    <w:rsid w:val="00BC556C"/>
    <w:rsid w:val="00BC6B9C"/>
    <w:rsid w:val="00BD42DA"/>
    <w:rsid w:val="00BD4684"/>
    <w:rsid w:val="00BE08A7"/>
    <w:rsid w:val="00BE4391"/>
    <w:rsid w:val="00BF3E48"/>
    <w:rsid w:val="00C15F1B"/>
    <w:rsid w:val="00C16288"/>
    <w:rsid w:val="00C17D1D"/>
    <w:rsid w:val="00C30EA8"/>
    <w:rsid w:val="00C45923"/>
    <w:rsid w:val="00C46B6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814"/>
    <w:rsid w:val="00CE23AF"/>
    <w:rsid w:val="00CE768D"/>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5425"/>
    <w:rsid w:val="00DC44A8"/>
    <w:rsid w:val="00DE4BEE"/>
    <w:rsid w:val="00DE5B3D"/>
    <w:rsid w:val="00DE7112"/>
    <w:rsid w:val="00DF19BE"/>
    <w:rsid w:val="00DF3B44"/>
    <w:rsid w:val="00E00D05"/>
    <w:rsid w:val="00E02F16"/>
    <w:rsid w:val="00E071EA"/>
    <w:rsid w:val="00E1372E"/>
    <w:rsid w:val="00E21D30"/>
    <w:rsid w:val="00E24D9A"/>
    <w:rsid w:val="00E27805"/>
    <w:rsid w:val="00E27A11"/>
    <w:rsid w:val="00E30497"/>
    <w:rsid w:val="00E358A2"/>
    <w:rsid w:val="00E35C9A"/>
    <w:rsid w:val="00E3771B"/>
    <w:rsid w:val="00E40979"/>
    <w:rsid w:val="00E43F26"/>
    <w:rsid w:val="00E50D8C"/>
    <w:rsid w:val="00E52A36"/>
    <w:rsid w:val="00E6378B"/>
    <w:rsid w:val="00E63EC3"/>
    <w:rsid w:val="00E653DA"/>
    <w:rsid w:val="00E65958"/>
    <w:rsid w:val="00E81105"/>
    <w:rsid w:val="00E84FE5"/>
    <w:rsid w:val="00E879A5"/>
    <w:rsid w:val="00E879FC"/>
    <w:rsid w:val="00EA2574"/>
    <w:rsid w:val="00EA2F1F"/>
    <w:rsid w:val="00EA3F2E"/>
    <w:rsid w:val="00EA57EC"/>
    <w:rsid w:val="00EA6208"/>
    <w:rsid w:val="00EB120E"/>
    <w:rsid w:val="00EB34C8"/>
    <w:rsid w:val="00EB46E2"/>
    <w:rsid w:val="00EC0045"/>
    <w:rsid w:val="00ED452E"/>
    <w:rsid w:val="00ED68A3"/>
    <w:rsid w:val="00EE3CDA"/>
    <w:rsid w:val="00EF37A8"/>
    <w:rsid w:val="00EF531F"/>
    <w:rsid w:val="00F04720"/>
    <w:rsid w:val="00F05FE8"/>
    <w:rsid w:val="00F06D86"/>
    <w:rsid w:val="00F13D87"/>
    <w:rsid w:val="00F149E5"/>
    <w:rsid w:val="00F15E33"/>
    <w:rsid w:val="00F17DA2"/>
    <w:rsid w:val="00F20D48"/>
    <w:rsid w:val="00F22EC0"/>
    <w:rsid w:val="00F25C47"/>
    <w:rsid w:val="00F27D7B"/>
    <w:rsid w:val="00F31D34"/>
    <w:rsid w:val="00F342A1"/>
    <w:rsid w:val="00F36FBA"/>
    <w:rsid w:val="00F44D36"/>
    <w:rsid w:val="00F46262"/>
    <w:rsid w:val="00F4795D"/>
    <w:rsid w:val="00F50A61"/>
    <w:rsid w:val="00F525CD"/>
    <w:rsid w:val="00F5286C"/>
    <w:rsid w:val="00F52E12"/>
    <w:rsid w:val="00F61016"/>
    <w:rsid w:val="00F638CA"/>
    <w:rsid w:val="00F657C5"/>
    <w:rsid w:val="00F900B4"/>
    <w:rsid w:val="00FA0F2E"/>
    <w:rsid w:val="00FA3666"/>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5B1C"/>
    <w:rPr>
      <w:rFonts w:ascii="Times New Roman" w:hAnsi="Times New Roman"/>
      <w:b w:val="0"/>
      <w:i w:val="0"/>
      <w:sz w:val="22"/>
    </w:rPr>
  </w:style>
  <w:style w:type="paragraph" w:styleId="NoSpacing">
    <w:name w:val="No Spacing"/>
    <w:uiPriority w:val="1"/>
    <w:qFormat/>
    <w:rsid w:val="00805B1C"/>
    <w:pPr>
      <w:spacing w:after="0" w:line="240" w:lineRule="auto"/>
    </w:pPr>
  </w:style>
  <w:style w:type="paragraph" w:customStyle="1" w:styleId="scemptylineheader">
    <w:name w:val="sc_emptyline_header"/>
    <w:qFormat/>
    <w:rsid w:val="00805B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5B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5B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5B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5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5B1C"/>
    <w:rPr>
      <w:color w:val="808080"/>
    </w:rPr>
  </w:style>
  <w:style w:type="paragraph" w:customStyle="1" w:styleId="scdirectionallanguage">
    <w:name w:val="sc_directional_language"/>
    <w:qFormat/>
    <w:rsid w:val="00805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5B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5B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5B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5B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5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5B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5B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5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5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5B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5B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5B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5B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5B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5B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5B1C"/>
    <w:rPr>
      <w:rFonts w:ascii="Times New Roman" w:hAnsi="Times New Roman"/>
      <w:color w:val="auto"/>
      <w:sz w:val="22"/>
    </w:rPr>
  </w:style>
  <w:style w:type="paragraph" w:customStyle="1" w:styleId="scclippagebillheader">
    <w:name w:val="sc_clip_page_bill_header"/>
    <w:qFormat/>
    <w:rsid w:val="00805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5B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5B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5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1C"/>
    <w:rPr>
      <w:lang w:val="en-US"/>
    </w:rPr>
  </w:style>
  <w:style w:type="paragraph" w:styleId="Footer">
    <w:name w:val="footer"/>
    <w:basedOn w:val="Normal"/>
    <w:link w:val="FooterChar"/>
    <w:uiPriority w:val="99"/>
    <w:unhideWhenUsed/>
    <w:rsid w:val="00805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1C"/>
    <w:rPr>
      <w:lang w:val="en-US"/>
    </w:rPr>
  </w:style>
  <w:style w:type="paragraph" w:styleId="ListParagraph">
    <w:name w:val="List Paragraph"/>
    <w:basedOn w:val="Normal"/>
    <w:uiPriority w:val="34"/>
    <w:qFormat/>
    <w:rsid w:val="00805B1C"/>
    <w:pPr>
      <w:ind w:left="720"/>
      <w:contextualSpacing/>
    </w:pPr>
  </w:style>
  <w:style w:type="paragraph" w:customStyle="1" w:styleId="scbillfooter">
    <w:name w:val="sc_bill_footer"/>
    <w:qFormat/>
    <w:rsid w:val="00805B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5B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5B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5B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5B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5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5B1C"/>
    <w:pPr>
      <w:widowControl w:val="0"/>
      <w:suppressAutoHyphens/>
      <w:spacing w:after="0" w:line="360" w:lineRule="auto"/>
    </w:pPr>
    <w:rPr>
      <w:rFonts w:ascii="Times New Roman" w:hAnsi="Times New Roman"/>
      <w:lang w:val="en-US"/>
    </w:rPr>
  </w:style>
  <w:style w:type="paragraph" w:customStyle="1" w:styleId="sctableln">
    <w:name w:val="sc_table_ln"/>
    <w:qFormat/>
    <w:rsid w:val="00805B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5B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5B1C"/>
    <w:rPr>
      <w:strike/>
      <w:dstrike w:val="0"/>
    </w:rPr>
  </w:style>
  <w:style w:type="character" w:customStyle="1" w:styleId="scinsert">
    <w:name w:val="sc_insert"/>
    <w:uiPriority w:val="1"/>
    <w:qFormat/>
    <w:rsid w:val="00805B1C"/>
    <w:rPr>
      <w:caps w:val="0"/>
      <w:smallCaps w:val="0"/>
      <w:strike w:val="0"/>
      <w:dstrike w:val="0"/>
      <w:vanish w:val="0"/>
      <w:u w:val="single"/>
      <w:vertAlign w:val="baseline"/>
    </w:rPr>
  </w:style>
  <w:style w:type="character" w:customStyle="1" w:styleId="scinsertred">
    <w:name w:val="sc_insert_red"/>
    <w:uiPriority w:val="1"/>
    <w:qFormat/>
    <w:rsid w:val="00805B1C"/>
    <w:rPr>
      <w:caps w:val="0"/>
      <w:smallCaps w:val="0"/>
      <w:strike w:val="0"/>
      <w:dstrike w:val="0"/>
      <w:vanish w:val="0"/>
      <w:color w:val="FF0000"/>
      <w:u w:val="single"/>
      <w:vertAlign w:val="baseline"/>
    </w:rPr>
  </w:style>
  <w:style w:type="character" w:customStyle="1" w:styleId="scinsertblue">
    <w:name w:val="sc_insert_blue"/>
    <w:uiPriority w:val="1"/>
    <w:qFormat/>
    <w:rsid w:val="00805B1C"/>
    <w:rPr>
      <w:caps w:val="0"/>
      <w:smallCaps w:val="0"/>
      <w:strike w:val="0"/>
      <w:dstrike w:val="0"/>
      <w:vanish w:val="0"/>
      <w:color w:val="0070C0"/>
      <w:u w:val="single"/>
      <w:vertAlign w:val="baseline"/>
    </w:rPr>
  </w:style>
  <w:style w:type="character" w:customStyle="1" w:styleId="scstrikered">
    <w:name w:val="sc_strike_red"/>
    <w:uiPriority w:val="1"/>
    <w:qFormat/>
    <w:rsid w:val="00805B1C"/>
    <w:rPr>
      <w:strike/>
      <w:dstrike w:val="0"/>
      <w:color w:val="FF0000"/>
    </w:rPr>
  </w:style>
  <w:style w:type="character" w:customStyle="1" w:styleId="scstrikeblue">
    <w:name w:val="sc_strike_blue"/>
    <w:uiPriority w:val="1"/>
    <w:qFormat/>
    <w:rsid w:val="00805B1C"/>
    <w:rPr>
      <w:strike/>
      <w:dstrike w:val="0"/>
      <w:color w:val="0070C0"/>
    </w:rPr>
  </w:style>
  <w:style w:type="character" w:customStyle="1" w:styleId="scinsertbluenounderline">
    <w:name w:val="sc_insert_blue_no_underline"/>
    <w:uiPriority w:val="1"/>
    <w:qFormat/>
    <w:rsid w:val="00805B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5B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5B1C"/>
    <w:rPr>
      <w:strike/>
      <w:dstrike w:val="0"/>
      <w:color w:val="0070C0"/>
      <w:lang w:val="en-US"/>
    </w:rPr>
  </w:style>
  <w:style w:type="character" w:customStyle="1" w:styleId="scstrikerednoncodified">
    <w:name w:val="sc_strike_red_non_codified"/>
    <w:uiPriority w:val="1"/>
    <w:qFormat/>
    <w:rsid w:val="00805B1C"/>
    <w:rPr>
      <w:strike/>
      <w:dstrike w:val="0"/>
      <w:color w:val="FF0000"/>
    </w:rPr>
  </w:style>
  <w:style w:type="paragraph" w:customStyle="1" w:styleId="scbillsiglines">
    <w:name w:val="sc_bill_sig_lines"/>
    <w:qFormat/>
    <w:rsid w:val="00805B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5B1C"/>
    <w:rPr>
      <w:bdr w:val="none" w:sz="0" w:space="0" w:color="auto"/>
      <w:shd w:val="clear" w:color="auto" w:fill="FEC6C6"/>
    </w:rPr>
  </w:style>
  <w:style w:type="character" w:customStyle="1" w:styleId="screstoreblue">
    <w:name w:val="sc_restore_blue"/>
    <w:uiPriority w:val="1"/>
    <w:qFormat/>
    <w:rsid w:val="00805B1C"/>
    <w:rPr>
      <w:color w:val="4472C4" w:themeColor="accent1"/>
      <w:bdr w:val="none" w:sz="0" w:space="0" w:color="auto"/>
      <w:shd w:val="clear" w:color="auto" w:fill="auto"/>
    </w:rPr>
  </w:style>
  <w:style w:type="character" w:customStyle="1" w:styleId="screstorered">
    <w:name w:val="sc_restore_red"/>
    <w:uiPriority w:val="1"/>
    <w:qFormat/>
    <w:rsid w:val="00805B1C"/>
    <w:rPr>
      <w:color w:val="FF0000"/>
      <w:bdr w:val="none" w:sz="0" w:space="0" w:color="auto"/>
      <w:shd w:val="clear" w:color="auto" w:fill="auto"/>
    </w:rPr>
  </w:style>
  <w:style w:type="character" w:customStyle="1" w:styleId="scstrikenewblue">
    <w:name w:val="sc_strike_new_blue"/>
    <w:uiPriority w:val="1"/>
    <w:qFormat/>
    <w:rsid w:val="00805B1C"/>
    <w:rPr>
      <w:strike w:val="0"/>
      <w:dstrike/>
      <w:color w:val="0070C0"/>
      <w:u w:val="none"/>
    </w:rPr>
  </w:style>
  <w:style w:type="character" w:customStyle="1" w:styleId="scstrikenewred">
    <w:name w:val="sc_strike_new_red"/>
    <w:uiPriority w:val="1"/>
    <w:qFormat/>
    <w:rsid w:val="00805B1C"/>
    <w:rPr>
      <w:strike w:val="0"/>
      <w:dstrike/>
      <w:color w:val="FF0000"/>
      <w:u w:val="none"/>
    </w:rPr>
  </w:style>
  <w:style w:type="character" w:customStyle="1" w:styleId="scamendsenate">
    <w:name w:val="sc_amend_senate"/>
    <w:uiPriority w:val="1"/>
    <w:qFormat/>
    <w:rsid w:val="00805B1C"/>
    <w:rPr>
      <w:bdr w:val="none" w:sz="0" w:space="0" w:color="auto"/>
      <w:shd w:val="clear" w:color="auto" w:fill="FFF2CC" w:themeFill="accent4" w:themeFillTint="33"/>
    </w:rPr>
  </w:style>
  <w:style w:type="character" w:customStyle="1" w:styleId="scamendhouse">
    <w:name w:val="sc_amend_house"/>
    <w:uiPriority w:val="1"/>
    <w:qFormat/>
    <w:rsid w:val="00805B1C"/>
    <w:rPr>
      <w:bdr w:val="none" w:sz="0" w:space="0" w:color="auto"/>
      <w:shd w:val="clear" w:color="auto" w:fill="E2EFD9" w:themeFill="accent6" w:themeFillTint="33"/>
    </w:rPr>
  </w:style>
  <w:style w:type="paragraph" w:styleId="Revision">
    <w:name w:val="Revision"/>
    <w:hidden/>
    <w:uiPriority w:val="99"/>
    <w:semiHidden/>
    <w:rsid w:val="00271E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amp;session=126&amp;summary=B" TargetMode="External" Id="R59cfff1ec44f4709" /><Relationship Type="http://schemas.openxmlformats.org/officeDocument/2006/relationships/hyperlink" Target="https://www.scstatehouse.gov/sess126_2025-2026/prever/395_20250226.docx" TargetMode="External" Id="R51e455d886274142" /><Relationship Type="http://schemas.openxmlformats.org/officeDocument/2006/relationships/hyperlink" Target="h:\sj\20250226.docx" TargetMode="External" Id="Rc5d6bad13b0b4e1f" /><Relationship Type="http://schemas.openxmlformats.org/officeDocument/2006/relationships/hyperlink" Target="h:\sj\20250226.docx" TargetMode="External" Id="R735e754d983c4c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011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68A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3fbe2a77-dc4e-490e-9057-eca1b619c118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38f65fd2-8458-4f13-8698-1987bd7eefa7</T_BILL_REQUEST_REQUEST>
  <T_BILL_R_ORIGINALDRAFT>a6f7b103-0479-4323-a774-129a4bbff879</T_BILL_R_ORIGINALDRAFT>
  <T_BILL_SPONSOR_SPONSOR>cf793dbb-d3c2-4d58-8219-a13a939f3d81</T_BILL_SPONSOR_SPONSOR>
  <T_BILL_T_BILLNAME>[0395]</T_BILL_T_BILLNAME>
  <T_BILL_T_BILLNUMBER>395</T_BILL_T_BILLNUMBER>
  <T_BILL_T_BILLTITLE>TO AMEND THE SOUTH CAROLINA CODE OF LAWS BY AMENDING SECTION 32‑2‑10, RELATING TO HOLD HARMLESS CLAUSES IN CERTAIN CONSTRUCTION CONTRACTS, SO AS TO PROVIDE THAT CERTAIN INDEMNIFICATION PROVISIONS IN CONSTRUCTION AGREEMENTS AND DESIGN PROFESSIONAL AGREEMENTS ARE UNENFORCEABLE IN SOUTH CAROLINA AND TO DEFINE TERMS RELATED TO HOLD HARMLESS CLAUSES.</T_BILL_T_BILLTITLE>
  <T_BILL_T_CHAMBER>senate</T_BILL_T_CHAMBER>
  <T_BILL_T_FILENAME> </T_BILL_T_FILENAME>
  <T_BILL_T_LEGTYPE>bill_statewide</T_BILL_T_LEGTYPE>
  <T_BILL_T_RATNUMBERSTRING>SNone</T_BILL_T_RATNUMBERSTRING>
  <T_BILL_T_SECTIONS>[{"SectionUUID":"29ea57a7-e7fb-4baa-807a-6a7d80638a18","SectionName":"code_section","SectionNumber":1,"SectionType":"code_section","CodeSections":[{"CodeSectionBookmarkName":"cs_T32C2N10_50749601e","IsConstitutionSection":false,"Identity":"32-2-10","IsNew":false,"SubSections":[{"Level":1,"Identity":"T32C2N10SA","SubSectionBookmarkName":"ss_T32C2N10SA_lv1_df7641bb0","IsNewSubSection":false,"SubSectionReplacement":""},{"Level":2,"Identity":"T32C2N10S1","SubSectionBookmarkName":"ss_T32C2N10S1_lv2_138ed4844","IsNewSubSection":false,"SubSectionReplacement":""},{"Level":2,"Identity":"T32C2N10S2","SubSectionBookmarkName":"ss_T32C2N10S2_lv2_c17eb4682","IsNewSubSection":false,"SubSectionReplacement":""},{"Level":2,"Identity":"T32C2N10S3","SubSectionBookmarkName":"ss_T32C2N10S3_lv2_3388b8a0d","IsNewSubSection":false,"SubSectionReplacement":""},{"Level":2,"Identity":"T32C2N10S4","SubSectionBookmarkName":"ss_T32C2N10S4_lv2_675ee007c","IsNewSubSection":false,"SubSectionReplacement":""},{"Level":2,"Identity":"T32C2N10S5","SubSectionBookmarkName":"ss_T32C2N10S5_lv2_5809e6880","IsNewSubSection":false,"SubSectionReplacement":""},{"Level":2,"Identity":"T32C2N10S6","SubSectionBookmarkName":"ss_T32C2N10S6_lv2_ea74cca1e","IsNewSubSection":false,"SubSectionReplacement":""},{"Level":2,"Identity":"T32C2N10S7","SubSectionBookmarkName":"ss_T32C2N10S7_lv2_06c79d7d2","IsNewSubSection":false,"SubSectionReplacement":""},{"Level":3,"Identity":"T32C2N10Sa","SubSectionBookmarkName":"ss_T32C2N10Sa_lv3_575c18737","IsNewSubSection":false,"SubSectionReplacement":""},{"Level":3,"Identity":"T32C2N10Sb","SubSectionBookmarkName":"ss_T32C2N10Sb_lv3_8427c7556","IsNewSubSection":false,"SubSectionReplacement":""},{"Level":3,"Identity":"T32C2N10Sc","SubSectionBookmarkName":"ss_T32C2N10Sc_lv3_f40eaee68","IsNewSubSection":false,"SubSectionReplacement":""},{"Level":2,"Identity":"T32C2N10S8","SubSectionBookmarkName":"ss_T32C2N10S8_lv2_566ce95c4","IsNewSubSection":false,"SubSectionReplacement":""},{"Level":2,"Identity":"T32C2N10S9","SubSectionBookmarkName":"ss_T32C2N10S9_lv2_05bd2a004","IsNewSubSection":false,"SubSectionReplacement":""},{"Level":2,"Identity":"T32C2N10S10","SubSectionBookmarkName":"ss_T32C2N10S10_lv2_560a2b6e1","IsNewSubSection":false,"SubSectionReplacement":""},{"Level":1,"Identity":"T32C2N10SB","SubSectionBookmarkName":"ss_T32C2N10SB_lv1_2e7910a36","IsNewSubSection":false,"SubSectionReplacement":""},{"Level":1,"Identity":"T32C2N10SC","SubSectionBookmarkName":"ss_T32C2N10SC_lv1_267748894","IsNewSubSection":false,"SubSectionReplacement":""},{"Level":1,"Identity":"T32C2N10SD","SubSectionBookmarkName":"ss_T32C2N10SD_lv1_9581de188","IsNewSubSection":false,"SubSectionReplacement":""},{"Level":1,"Identity":"T32C2N10SE","SubSectionBookmarkName":"ss_T32C2N10SE_lv1_ee4b0f763","IsNewSubSection":false,"SubSectionReplacement":""},{"Level":1,"Identity":"T32C2N10SF","SubSectionBookmarkName":"ss_T32C2N10SF_lv1_2cc788b82","IsNewSubSection":false,"SubSectionReplacement":""},{"Level":2,"Identity":"T32C2N10S1","SubSectionBookmarkName":"ss_T32C2N10S1_lv2_f3549ce86","IsNewSubSection":false,"SubSectionReplacement":""},{"Level":2,"Identity":"T32C2N10S2","SubSectionBookmarkName":"ss_T32C2N10S2_lv2_74c3e224d","IsNewSubSection":false,"SubSectionReplacement":""},{"Level":2,"Identity":"T32C2N10S3","SubSectionBookmarkName":"ss_T32C2N10S3_lv2_a21556359","IsNewSubSection":false,"SubSectionReplacement":""}],"TitleRelatedTo":"Hold harmless clauses in certain construction contracts","TitleSoAsTo":"provide that certain indemnification provisions in construction agreements and design professional agreements are unenforceable in south carolina and to define terms related to hold harmless clauses","Deleted":false}],"TitleText":"","DisableControls":false,"Deleted":false,"RepealItems":[],"SectionBookmarkName":"bs_num_1_5f11c4185"},{"SectionUUID":"8f03ca95-8faa-4d43-a9c2-8afc498075bd","SectionName":"standard_eff_date_section","SectionNumber":2,"SectionType":"drafting_clause","CodeSections":[],"TitleText":"","DisableControls":false,"Deleted":false,"RepealItems":[],"SectionBookmarkName":"bs_num_2_lastsection"}]</T_BILL_T_SECTIONS>
  <T_BILL_T_SUBJECT>Construction Agreements</T_BILL_T_SUBJECT>
  <T_BILL_UR_DRAFTER>cassidymurphy@scsenate.gov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3599C175-03AD-4E69-A123-EAA8498360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5592</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2025-02-12T17:38:00Z</dcterms:created>
  <dcterms:modified xsi:type="dcterms:W3CDTF">2025-02-12T17:38:00Z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